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76C00" w14:textId="1704B932" w:rsidR="00695672" w:rsidRPr="005817D8" w:rsidRDefault="000523D0" w:rsidP="005817D8">
      <w:pPr>
        <w:pStyle w:val="ChapterHeading"/>
      </w:pPr>
      <w:bookmarkStart w:id="0" w:name="_Toc429911707"/>
      <w:bookmarkStart w:id="1" w:name="_Toc104910303"/>
      <w:r w:rsidRPr="005817D8">
        <w:t>References</w:t>
      </w:r>
      <w:bookmarkEnd w:id="0"/>
      <w:bookmarkEnd w:id="1"/>
    </w:p>
    <w:p w14:paraId="4994A63D" w14:textId="54D8AE1C" w:rsidR="005524A4" w:rsidRDefault="0094012A" w:rsidP="009E5469">
      <w:pPr>
        <w:pStyle w:val="References"/>
        <w:tabs>
          <w:tab w:val="clear" w:pos="284"/>
          <w:tab w:val="left" w:pos="426"/>
        </w:tabs>
        <w:ind w:left="392" w:hanging="416"/>
      </w:pPr>
      <w:r>
        <w:t>1.</w:t>
      </w:r>
      <w:r>
        <w:tab/>
      </w:r>
      <w:r w:rsidR="005524A4">
        <w:t xml:space="preserve">World Health Organization. World report on vision (2019). </w:t>
      </w:r>
      <w:r w:rsidR="007F0C72">
        <w:t>Accessed 10</w:t>
      </w:r>
      <w:r w:rsidR="007F0C72" w:rsidRPr="00BD6088">
        <w:rPr>
          <w:vertAlign w:val="superscript"/>
        </w:rPr>
        <w:t>th</w:t>
      </w:r>
      <w:r w:rsidR="007F0C72">
        <w:t xml:space="preserve"> December 2019. </w:t>
      </w:r>
      <w:r w:rsidR="005524A4" w:rsidRPr="00110BD2">
        <w:t>https://www.who.int/publications-detail/world-report-on-vision</w:t>
      </w:r>
      <w:r w:rsidR="005524A4">
        <w:t xml:space="preserve">. </w:t>
      </w:r>
    </w:p>
    <w:p w14:paraId="27099D60" w14:textId="699E86A2" w:rsidR="005524A4" w:rsidRDefault="005524A4" w:rsidP="009E5469">
      <w:pPr>
        <w:pStyle w:val="References"/>
        <w:tabs>
          <w:tab w:val="clear" w:pos="284"/>
          <w:tab w:val="left" w:pos="426"/>
        </w:tabs>
        <w:ind w:left="392" w:hanging="416"/>
      </w:pPr>
      <w:r>
        <w:t xml:space="preserve">2. </w:t>
      </w:r>
      <w:r w:rsidR="009E5469">
        <w:t xml:space="preserve">   </w:t>
      </w:r>
      <w:r>
        <w:t>The Saint Vincent Declaration on diabetes care and research in Europe. Acta Diabetologia 1989;</w:t>
      </w:r>
      <w:r w:rsidRPr="00B061C7">
        <w:rPr>
          <w:b/>
          <w:bCs/>
        </w:rPr>
        <w:t>10(suppl):</w:t>
      </w:r>
      <w:r>
        <w:t>143-144.</w:t>
      </w:r>
    </w:p>
    <w:p w14:paraId="60213235" w14:textId="78557784" w:rsidR="005524A4" w:rsidRDefault="005524A4" w:rsidP="009E5469">
      <w:pPr>
        <w:pStyle w:val="References"/>
        <w:tabs>
          <w:tab w:val="clear" w:pos="284"/>
          <w:tab w:val="left" w:pos="426"/>
        </w:tabs>
        <w:ind w:left="392" w:hanging="416"/>
      </w:pPr>
      <w:r>
        <w:t xml:space="preserve">3. </w:t>
      </w:r>
      <w:r w:rsidR="009E5469">
        <w:t xml:space="preserve">   </w:t>
      </w:r>
      <w:r>
        <w:t xml:space="preserve">Scanlon PH. </w:t>
      </w:r>
      <w:r w:rsidRPr="00D25185">
        <w:t>The English national screening programme for sight-threatening diabetic retinopathy.</w:t>
      </w:r>
      <w:r>
        <w:t xml:space="preserve"> J Med Screen 2008:</w:t>
      </w:r>
      <w:r w:rsidRPr="00B061C7">
        <w:rPr>
          <w:b/>
          <w:bCs/>
        </w:rPr>
        <w:t>15:</w:t>
      </w:r>
      <w:r>
        <w:t>1-4.</w:t>
      </w:r>
    </w:p>
    <w:p w14:paraId="414C6B42" w14:textId="6CAFA0D1" w:rsidR="005524A4" w:rsidRDefault="005524A4" w:rsidP="009E5469">
      <w:pPr>
        <w:pStyle w:val="References"/>
        <w:tabs>
          <w:tab w:val="clear" w:pos="284"/>
          <w:tab w:val="left" w:pos="426"/>
        </w:tabs>
        <w:ind w:left="392" w:hanging="416"/>
      </w:pPr>
      <w:r>
        <w:t xml:space="preserve">4. </w:t>
      </w:r>
      <w:r w:rsidR="009E5469">
        <w:t xml:space="preserve">   </w:t>
      </w:r>
      <w:r>
        <w:t>Taylor R, Broadbent DM, Greenwood R, Hepburn D, Owens DR, Simpson H. Mobile retinal screening in Britain. Diabet Med 1998;</w:t>
      </w:r>
      <w:r w:rsidRPr="00B061C7">
        <w:rPr>
          <w:b/>
          <w:bCs/>
        </w:rPr>
        <w:t>15:</w:t>
      </w:r>
      <w:r>
        <w:t>344-347.</w:t>
      </w:r>
    </w:p>
    <w:p w14:paraId="5FD78EB2" w14:textId="28B96338" w:rsidR="005524A4" w:rsidRDefault="005524A4" w:rsidP="009E5469">
      <w:pPr>
        <w:pStyle w:val="References"/>
        <w:tabs>
          <w:tab w:val="clear" w:pos="284"/>
          <w:tab w:val="left" w:pos="426"/>
        </w:tabs>
        <w:ind w:left="392" w:hanging="416"/>
      </w:pPr>
      <w:r>
        <w:t xml:space="preserve">5. </w:t>
      </w:r>
      <w:r w:rsidR="009E5469">
        <w:t xml:space="preserve">   </w:t>
      </w:r>
      <w:r>
        <w:t>NCD Risk Factor Collaboration. Worldwide trends in diabetes since 1980: a pooled analysis of 752 population-based studies with 4.4 million participants. Lancet 2016;</w:t>
      </w:r>
      <w:r w:rsidRPr="00B061C7">
        <w:rPr>
          <w:b/>
          <w:bCs/>
        </w:rPr>
        <w:t>387:</w:t>
      </w:r>
      <w:r>
        <w:t xml:space="preserve"> 1513-30.</w:t>
      </w:r>
    </w:p>
    <w:p w14:paraId="13F61587" w14:textId="43463F23" w:rsidR="00116D5B" w:rsidRDefault="005524A4" w:rsidP="009E5469">
      <w:pPr>
        <w:pStyle w:val="References"/>
        <w:tabs>
          <w:tab w:val="clear" w:pos="284"/>
          <w:tab w:val="left" w:pos="426"/>
        </w:tabs>
        <w:ind w:left="392" w:hanging="416"/>
      </w:pPr>
      <w:r>
        <w:t>6.</w:t>
      </w:r>
      <w:r w:rsidR="00116D5B" w:rsidRPr="00116D5B">
        <w:t xml:space="preserve"> </w:t>
      </w:r>
      <w:r w:rsidR="009E5469">
        <w:t xml:space="preserve">   </w:t>
      </w:r>
      <w:r w:rsidR="00116D5B">
        <w:t>Younis N, Broadbent DM, Vora JP, Harding SP. Incidence of sight threatening retinopathy in type 2 diabetes in a systematic screening programme. Lancet 2003</w:t>
      </w:r>
      <w:r w:rsidR="00B061C7">
        <w:t>;</w:t>
      </w:r>
      <w:r w:rsidR="00116D5B" w:rsidRPr="00B061C7">
        <w:rPr>
          <w:b/>
          <w:bCs/>
        </w:rPr>
        <w:t>361:</w:t>
      </w:r>
      <w:r w:rsidR="00116D5B">
        <w:t xml:space="preserve">195-200. </w:t>
      </w:r>
    </w:p>
    <w:p w14:paraId="62A48AF2" w14:textId="62DF8705" w:rsidR="00116D5B" w:rsidRDefault="00116D5B" w:rsidP="009E5469">
      <w:pPr>
        <w:pStyle w:val="References"/>
        <w:tabs>
          <w:tab w:val="clear" w:pos="284"/>
          <w:tab w:val="left" w:pos="426"/>
        </w:tabs>
        <w:ind w:left="392" w:hanging="416"/>
      </w:pPr>
      <w:r>
        <w:t>7.</w:t>
      </w:r>
      <w:r>
        <w:tab/>
        <w:t>Echouffo-Tcheugui JB, Ali MK, Roglic G, Hayward RA, Narayan KM. Screening intervals for diabetic retinopathy and incidence of visual loss: a systematic review. Diabet Med 2013</w:t>
      </w:r>
      <w:r w:rsidR="00B061C7">
        <w:t>;</w:t>
      </w:r>
      <w:r w:rsidRPr="00B061C7">
        <w:rPr>
          <w:b/>
          <w:bCs/>
        </w:rPr>
        <w:t>30:</w:t>
      </w:r>
      <w:r>
        <w:t xml:space="preserve">1272-92. </w:t>
      </w:r>
      <w:r w:rsidR="00770D3F">
        <w:t>doi: 10.1111/dme.12274.</w:t>
      </w:r>
    </w:p>
    <w:p w14:paraId="5D735AE0" w14:textId="27DD6070" w:rsidR="00116D5B" w:rsidRDefault="00116D5B" w:rsidP="009E5469">
      <w:pPr>
        <w:pStyle w:val="References"/>
        <w:tabs>
          <w:tab w:val="clear" w:pos="284"/>
          <w:tab w:val="left" w:pos="426"/>
        </w:tabs>
        <w:ind w:left="392" w:hanging="416"/>
      </w:pPr>
      <w:r>
        <w:t>8.</w:t>
      </w:r>
      <w:r>
        <w:tab/>
        <w:t>Taylor-Phillips S, Mistry H, Leslie R, et al</w:t>
      </w:r>
      <w:r w:rsidR="00B061C7">
        <w:t>.</w:t>
      </w:r>
      <w:r>
        <w:t xml:space="preserve"> Extending the diabetic retinopathy screening interval beyond 1 year: systematic review. Br J Ophthalmol. </w:t>
      </w:r>
      <w:r w:rsidR="00B061C7">
        <w:t>2016;</w:t>
      </w:r>
      <w:r w:rsidRPr="00B061C7">
        <w:rPr>
          <w:b/>
          <w:bCs/>
        </w:rPr>
        <w:t>100:</w:t>
      </w:r>
      <w:r>
        <w:t>105-14.</w:t>
      </w:r>
    </w:p>
    <w:p w14:paraId="587EBBDA" w14:textId="2F2E180A" w:rsidR="005524A4" w:rsidRDefault="00116D5B" w:rsidP="009E5469">
      <w:pPr>
        <w:pStyle w:val="References"/>
        <w:tabs>
          <w:tab w:val="clear" w:pos="284"/>
          <w:tab w:val="left" w:pos="426"/>
        </w:tabs>
        <w:ind w:left="392" w:hanging="416"/>
      </w:pPr>
      <w:r>
        <w:t xml:space="preserve">9. </w:t>
      </w:r>
      <w:r w:rsidR="00C102C7">
        <w:t xml:space="preserve"> </w:t>
      </w:r>
      <w:r w:rsidR="009E5469">
        <w:t xml:space="preserve">  </w:t>
      </w:r>
      <w:r>
        <w:t xml:space="preserve">Looker HC, Nyangoma SO, Cromie DT, et al Predicted impact of extending the screening interval for diabetic retinopathy: the Scottish Diabetic Retinopathy Screening programme. Diabetologia </w:t>
      </w:r>
      <w:r w:rsidR="00D85C39">
        <w:t>2013;</w:t>
      </w:r>
      <w:r w:rsidRPr="00B061C7">
        <w:rPr>
          <w:b/>
          <w:bCs/>
        </w:rPr>
        <w:t>56:</w:t>
      </w:r>
      <w:r>
        <w:t>1716–1725</w:t>
      </w:r>
    </w:p>
    <w:p w14:paraId="32905E77" w14:textId="165CF322" w:rsidR="00116D5B" w:rsidRDefault="00116D5B" w:rsidP="009E5469">
      <w:pPr>
        <w:pStyle w:val="References"/>
        <w:tabs>
          <w:tab w:val="clear" w:pos="284"/>
          <w:tab w:val="left" w:pos="426"/>
        </w:tabs>
        <w:ind w:left="392" w:hanging="416"/>
      </w:pPr>
      <w:r>
        <w:t xml:space="preserve">10. </w:t>
      </w:r>
      <w:r w:rsidR="009E5469">
        <w:t xml:space="preserve"> </w:t>
      </w:r>
      <w:r>
        <w:t>Agardh E, Tababat-Khani P</w:t>
      </w:r>
      <w:r w:rsidR="00D85C39">
        <w:t>.</w:t>
      </w:r>
      <w:r>
        <w:t xml:space="preserve"> Adopting 3-year screening intervals for sight-threatening retinal vascular lesions in type 2 diabetic subjects without retinopathy. Diabetes Care </w:t>
      </w:r>
      <w:r w:rsidR="00D85C39">
        <w:t>2011;</w:t>
      </w:r>
      <w:r w:rsidRPr="00B061C7">
        <w:rPr>
          <w:b/>
          <w:bCs/>
        </w:rPr>
        <w:t>34:</w:t>
      </w:r>
      <w:r>
        <w:t>1318–1319</w:t>
      </w:r>
    </w:p>
    <w:p w14:paraId="7C8BE2FA" w14:textId="1006B74B" w:rsidR="00116D5B" w:rsidRDefault="00116D5B" w:rsidP="009E5469">
      <w:pPr>
        <w:pStyle w:val="References"/>
        <w:tabs>
          <w:tab w:val="clear" w:pos="284"/>
          <w:tab w:val="left" w:pos="426"/>
        </w:tabs>
        <w:ind w:left="392" w:hanging="416"/>
      </w:pPr>
      <w:r>
        <w:t xml:space="preserve">11. </w:t>
      </w:r>
      <w:r w:rsidR="009E5469">
        <w:t xml:space="preserve"> </w:t>
      </w:r>
      <w:r>
        <w:t>Grauslund J, Andersen N, Andresen J, et al. Evidence-based Danish guidelines for screening of diabetic retinopathy. Acta Ophthalmol 2018:</w:t>
      </w:r>
      <w:r w:rsidRPr="00B061C7">
        <w:rPr>
          <w:b/>
          <w:bCs/>
        </w:rPr>
        <w:t>96:</w:t>
      </w:r>
      <w:r>
        <w:t>763–769.</w:t>
      </w:r>
    </w:p>
    <w:p w14:paraId="46266830" w14:textId="06E80C03" w:rsidR="00116D5B" w:rsidRDefault="00116D5B" w:rsidP="009E5469">
      <w:pPr>
        <w:pStyle w:val="References"/>
        <w:tabs>
          <w:tab w:val="clear" w:pos="284"/>
          <w:tab w:val="left" w:pos="426"/>
        </w:tabs>
        <w:ind w:left="392" w:hanging="416"/>
      </w:pPr>
      <w:r>
        <w:t>12.</w:t>
      </w:r>
      <w:r w:rsidRPr="00116D5B">
        <w:t xml:space="preserve"> </w:t>
      </w:r>
      <w:r w:rsidR="009E5469">
        <w:t xml:space="preserve"> </w:t>
      </w:r>
      <w:r>
        <w:t xml:space="preserve">Chalk D, Pitt M, Vaidya B, Stein K  Can the retinal screening interval be safely increased to 2 years for type 2 diabetic patients without retinopathy? Diabetes Care </w:t>
      </w:r>
      <w:r w:rsidR="009C165C">
        <w:t>2012;</w:t>
      </w:r>
      <w:r w:rsidRPr="00B061C7">
        <w:rPr>
          <w:b/>
          <w:bCs/>
        </w:rPr>
        <w:t>35:</w:t>
      </w:r>
      <w:r>
        <w:t>1663–1668</w:t>
      </w:r>
    </w:p>
    <w:p w14:paraId="1FED7F59" w14:textId="0F218C76" w:rsidR="00116D5B" w:rsidRDefault="00116D5B" w:rsidP="009E5469">
      <w:pPr>
        <w:pStyle w:val="References"/>
        <w:tabs>
          <w:tab w:val="clear" w:pos="284"/>
          <w:tab w:val="left" w:pos="426"/>
        </w:tabs>
        <w:ind w:left="392" w:hanging="416"/>
      </w:pPr>
      <w:r>
        <w:t xml:space="preserve">13. </w:t>
      </w:r>
      <w:r w:rsidR="009E5469">
        <w:t xml:space="preserve"> </w:t>
      </w:r>
      <w:r>
        <w:t xml:space="preserve">Aspelund T, Þórisdóttir O, Ólafsdottir E, et al Individual risk assessment and information technology to optimise screening frequency for diabetic retinopathy. Diabetologia </w:t>
      </w:r>
      <w:r w:rsidR="009C165C">
        <w:t>2011;</w:t>
      </w:r>
      <w:r w:rsidRPr="00B061C7">
        <w:rPr>
          <w:b/>
          <w:bCs/>
        </w:rPr>
        <w:t>54:</w:t>
      </w:r>
      <w:r>
        <w:t>2525-2532</w:t>
      </w:r>
    </w:p>
    <w:p w14:paraId="1216604C" w14:textId="42DC94F1" w:rsidR="00116D5B" w:rsidRDefault="00116D5B" w:rsidP="009E5469">
      <w:pPr>
        <w:pStyle w:val="References"/>
        <w:tabs>
          <w:tab w:val="clear" w:pos="284"/>
          <w:tab w:val="left" w:pos="426"/>
        </w:tabs>
        <w:ind w:left="392" w:hanging="416"/>
      </w:pPr>
      <w:r>
        <w:t>14.</w:t>
      </w:r>
      <w:r w:rsidRPr="00116D5B">
        <w:t xml:space="preserve"> </w:t>
      </w:r>
      <w:r w:rsidR="009E5469">
        <w:t xml:space="preserve"> </w:t>
      </w:r>
      <w:r>
        <w:t>Lund SH, Aspelund T, Kirby P, Russell G, Einarsson S, Palsson O, Stefánsson E. Individualised risk assessment for diabetic retinopathy and optimisation of screening intervals: a scientific approach to reducing healthcare costs. Br J Ophthalmol. 2016;</w:t>
      </w:r>
      <w:r w:rsidRPr="00B061C7">
        <w:rPr>
          <w:b/>
          <w:bCs/>
        </w:rPr>
        <w:t>100:</w:t>
      </w:r>
      <w:r>
        <w:t xml:space="preserve">683-7. </w:t>
      </w:r>
    </w:p>
    <w:p w14:paraId="0A8C46CB" w14:textId="4A007BD0" w:rsidR="00116D5B" w:rsidRDefault="00A0427B" w:rsidP="009E5469">
      <w:pPr>
        <w:pStyle w:val="References"/>
        <w:tabs>
          <w:tab w:val="clear" w:pos="284"/>
          <w:tab w:val="left" w:pos="426"/>
        </w:tabs>
        <w:ind w:left="392" w:hanging="416"/>
      </w:pPr>
      <w:r>
        <w:t>15.</w:t>
      </w:r>
      <w:r w:rsidR="00116D5B" w:rsidRPr="00116D5B">
        <w:t xml:space="preserve"> </w:t>
      </w:r>
      <w:r w:rsidR="009E5469">
        <w:t xml:space="preserve"> </w:t>
      </w:r>
      <w:r w:rsidR="00116D5B">
        <w:t>National Health Executive. Backlog of 150,000 cervical screenings revealed as all major health screenings failing to hit targets.  Feb 01, 2019.</w:t>
      </w:r>
      <w:r w:rsidR="007F0C72" w:rsidRPr="007F0C72">
        <w:t xml:space="preserve"> </w:t>
      </w:r>
      <w:r w:rsidR="007F0C72">
        <w:t>Accessed 9</w:t>
      </w:r>
      <w:r w:rsidR="007F0C72" w:rsidRPr="00116D5B">
        <w:rPr>
          <w:vertAlign w:val="superscript"/>
        </w:rPr>
        <w:t>th</w:t>
      </w:r>
      <w:r w:rsidR="007F0C72">
        <w:t xml:space="preserve"> May 2019</w:t>
      </w:r>
    </w:p>
    <w:p w14:paraId="42848A60" w14:textId="697589BA" w:rsidR="00116D5B" w:rsidRDefault="00116D5B" w:rsidP="009E5469">
      <w:pPr>
        <w:pStyle w:val="References"/>
        <w:tabs>
          <w:tab w:val="clear" w:pos="284"/>
          <w:tab w:val="left" w:pos="426"/>
        </w:tabs>
        <w:ind w:left="392" w:hanging="416"/>
      </w:pPr>
      <w:r>
        <w:tab/>
      </w:r>
      <w:r>
        <w:tab/>
      </w:r>
      <w:r w:rsidR="007F0C72" w:rsidRPr="00110BD2">
        <w:t>http://www.nationalhealthexecutive.com/News/backlog-of-150000-cervical-screenings-revealed-as-all-major-health-screenings-failing-to-hit-targets-/220549</w:t>
      </w:r>
      <w:r w:rsidR="007F0C72">
        <w:t xml:space="preserve"> </w:t>
      </w:r>
      <w:r>
        <w:t xml:space="preserve"> </w:t>
      </w:r>
    </w:p>
    <w:p w14:paraId="4C7439D8" w14:textId="6C9E1B63" w:rsidR="00AA4E46" w:rsidRPr="003B3637" w:rsidRDefault="00AA4E46" w:rsidP="00AA4E46">
      <w:pPr>
        <w:pStyle w:val="References"/>
        <w:tabs>
          <w:tab w:val="clear" w:pos="284"/>
          <w:tab w:val="left" w:pos="426"/>
        </w:tabs>
        <w:ind w:left="392" w:hanging="416"/>
      </w:pPr>
      <w:r>
        <w:t>16</w:t>
      </w:r>
      <w:r w:rsidRPr="003B3637">
        <w:t xml:space="preserve">. </w:t>
      </w:r>
      <w:r>
        <w:t xml:space="preserve"> </w:t>
      </w:r>
      <w:r w:rsidRPr="003B3637">
        <w:t>Klein R, Klein BE, Moss SE, Cruickshanks KJ. The Wisconsin Epidemiologic Study of Diabetic Retinopathy. XIV. Ten-year incidence and progression of diabetic retinopathy. Arch Ophthalmol. 1994;</w:t>
      </w:r>
      <w:r w:rsidRPr="00D55098">
        <w:rPr>
          <w:b/>
          <w:bCs/>
        </w:rPr>
        <w:t>112:</w:t>
      </w:r>
      <w:r w:rsidRPr="003B3637">
        <w:t xml:space="preserve">1217–28. </w:t>
      </w:r>
    </w:p>
    <w:p w14:paraId="5AB303EE" w14:textId="63740BE0" w:rsidR="00AA4E46" w:rsidRDefault="00AA4E46" w:rsidP="00AA4E46">
      <w:pPr>
        <w:pStyle w:val="References"/>
        <w:tabs>
          <w:tab w:val="clear" w:pos="284"/>
          <w:tab w:val="left" w:pos="426"/>
        </w:tabs>
        <w:ind w:left="392" w:hanging="416"/>
      </w:pPr>
      <w:r>
        <w:t>17</w:t>
      </w:r>
      <w:r w:rsidRPr="003C2D5D">
        <w:t xml:space="preserve">. </w:t>
      </w:r>
      <w:r>
        <w:t xml:space="preserve"> </w:t>
      </w:r>
      <w:r w:rsidRPr="003C2D5D">
        <w:t>Statton IM, Kohner EM, Aldington SJ, Turner RC, Holman RR, Manley SE, Matthews DR. UKPDS 50: risk factors for incidence and progression of retinopathy in Type II diabetes over 6 years from diagnosis. Diabetologia 2001;</w:t>
      </w:r>
      <w:r w:rsidRPr="00AA4E46">
        <w:t>44:</w:t>
      </w:r>
      <w:r w:rsidRPr="003C2D5D">
        <w:t>156-163</w:t>
      </w:r>
    </w:p>
    <w:p w14:paraId="20AA9FB9" w14:textId="77777777" w:rsidR="00AA4E46" w:rsidRDefault="00AA4E46" w:rsidP="00AA4E46">
      <w:pPr>
        <w:pStyle w:val="References"/>
        <w:tabs>
          <w:tab w:val="clear" w:pos="284"/>
          <w:tab w:val="left" w:pos="426"/>
        </w:tabs>
        <w:ind w:left="392" w:hanging="416"/>
      </w:pPr>
      <w:r>
        <w:lastRenderedPageBreak/>
        <w:t>18.  Wareham NJ, O’Rahilly S. The changing classification and diagnosis of diabetes. Br Med J 1998;</w:t>
      </w:r>
      <w:r w:rsidRPr="00AA4E46">
        <w:t>317:</w:t>
      </w:r>
      <w:r>
        <w:t>359–60</w:t>
      </w:r>
    </w:p>
    <w:p w14:paraId="4CBE4304" w14:textId="77777777" w:rsidR="00AA4E46" w:rsidRDefault="00AA4E46" w:rsidP="00AA4E46">
      <w:pPr>
        <w:pStyle w:val="References"/>
        <w:tabs>
          <w:tab w:val="clear" w:pos="284"/>
          <w:tab w:val="left" w:pos="426"/>
        </w:tabs>
        <w:ind w:left="392" w:hanging="416"/>
      </w:pPr>
      <w:r>
        <w:t xml:space="preserve">19.  World Health Organization. Use of glycated haemoglobin (HbA1c) in the diagnosis of diabetes mellitus. 2011. </w:t>
      </w:r>
      <w:r w:rsidRPr="00A74447">
        <w:t>https://www.who.int/diabetes/publications/report-hba1c_2011.pdf</w:t>
      </w:r>
    </w:p>
    <w:p w14:paraId="3A1DBCE1" w14:textId="77777777" w:rsidR="00AA4E46" w:rsidRPr="00F6479A" w:rsidRDefault="00AA4E46" w:rsidP="00AA4E46">
      <w:pPr>
        <w:pStyle w:val="References"/>
        <w:tabs>
          <w:tab w:val="clear" w:pos="284"/>
          <w:tab w:val="left" w:pos="426"/>
        </w:tabs>
        <w:ind w:left="392" w:hanging="416"/>
      </w:pPr>
      <w:r>
        <w:t xml:space="preserve">20.  Rahimi K, Emdin CA, MacMahon S. The epidemiology of blood pressure and its worldwide management. </w:t>
      </w:r>
      <w:r w:rsidRPr="00F6479A">
        <w:t>Circulation Res 2015;116:925-936</w:t>
      </w:r>
    </w:p>
    <w:p w14:paraId="4C3A8D6D" w14:textId="5A70EB21" w:rsidR="006B7DC7" w:rsidRDefault="00FD665C" w:rsidP="009E5469">
      <w:pPr>
        <w:pStyle w:val="References"/>
        <w:tabs>
          <w:tab w:val="clear" w:pos="284"/>
          <w:tab w:val="left" w:pos="426"/>
        </w:tabs>
        <w:ind w:left="392" w:hanging="416"/>
      </w:pPr>
      <w:r>
        <w:t>21</w:t>
      </w:r>
      <w:r w:rsidR="00A0427B">
        <w:t xml:space="preserve">. </w:t>
      </w:r>
      <w:r w:rsidR="009E5469">
        <w:t xml:space="preserve"> </w:t>
      </w:r>
      <w:r w:rsidR="006B7DC7" w:rsidRPr="005123C2">
        <w:t xml:space="preserve">Eleuteri A, Fisher AC, Broadbent DM, Garcia-Finana M, Cheyne CP, Wang A, Stratton IM, Gabbay M Seddon D, Harding SP. Individualised variable-interval risk-based screening for sight-threatening diabetic retinopathy: the Liverpool </w:t>
      </w:r>
      <w:r w:rsidR="00B061C7" w:rsidRPr="005123C2">
        <w:t>Risk Calculation Engine</w:t>
      </w:r>
      <w:r w:rsidR="00B061C7">
        <w:t>.</w:t>
      </w:r>
      <w:r w:rsidR="00B061C7" w:rsidRPr="005123C2">
        <w:t xml:space="preserve"> </w:t>
      </w:r>
      <w:r w:rsidR="006B7DC7" w:rsidRPr="005123C2">
        <w:t>Diabeto</w:t>
      </w:r>
      <w:r w:rsidR="00770D3F">
        <w:t>lo</w:t>
      </w:r>
      <w:r w:rsidR="006B7DC7" w:rsidRPr="005123C2">
        <w:t>gia 2017;</w:t>
      </w:r>
      <w:r w:rsidR="006B7DC7" w:rsidRPr="00B061C7">
        <w:rPr>
          <w:b/>
          <w:bCs/>
        </w:rPr>
        <w:t>60:</w:t>
      </w:r>
      <w:r w:rsidR="006B7DC7" w:rsidRPr="005123C2">
        <w:t>2174-82</w:t>
      </w:r>
    </w:p>
    <w:p w14:paraId="7D506F1A" w14:textId="38F927D5" w:rsidR="006B7DC7" w:rsidRDefault="00FD665C" w:rsidP="009E5469">
      <w:pPr>
        <w:pStyle w:val="References"/>
        <w:tabs>
          <w:tab w:val="clear" w:pos="284"/>
          <w:tab w:val="left" w:pos="426"/>
        </w:tabs>
        <w:ind w:left="392" w:hanging="416"/>
      </w:pPr>
      <w:r>
        <w:t>22</w:t>
      </w:r>
      <w:r w:rsidR="000A6A3C">
        <w:t xml:space="preserve">. </w:t>
      </w:r>
      <w:r w:rsidR="009E5469">
        <w:t xml:space="preserve"> </w:t>
      </w:r>
      <w:r w:rsidR="006B7DC7">
        <w:t>Broadbent DM, Sampson CJ, Wang A, Howard L, Williams AE, Howlin SU, Appelbe D, Moitt T, Cheyne CP, Rahni MM, Kelly J, Collins J, García-Fiñana M, Stratton IM, James M, Harding SP; ISDR Study Group. Individualised screening for diabetic retinopathy: the ISDR study-rationale, design and methodology for a randomised controlled trial comparing annual and individualised risk-based variable-interval screening. BMJ Open. 2019;</w:t>
      </w:r>
      <w:r w:rsidR="006B7DC7" w:rsidRPr="00B061C7">
        <w:rPr>
          <w:b/>
          <w:bCs/>
        </w:rPr>
        <w:t>9:</w:t>
      </w:r>
      <w:r w:rsidR="006B7DC7">
        <w:t>e025788.</w:t>
      </w:r>
    </w:p>
    <w:p w14:paraId="430CE5D4" w14:textId="7235F991" w:rsidR="005D1B11" w:rsidRDefault="00FD665C" w:rsidP="009E5469">
      <w:pPr>
        <w:pStyle w:val="References"/>
        <w:tabs>
          <w:tab w:val="clear" w:pos="284"/>
          <w:tab w:val="left" w:pos="426"/>
        </w:tabs>
        <w:ind w:left="392" w:hanging="416"/>
      </w:pPr>
      <w:r>
        <w:t>23</w:t>
      </w:r>
      <w:r w:rsidR="009C38DA" w:rsidRPr="00B82001">
        <w:t>.</w:t>
      </w:r>
      <w:r w:rsidR="009C38DA">
        <w:t xml:space="preserve">  </w:t>
      </w:r>
      <w:r w:rsidR="009C38DA" w:rsidRPr="00B82001">
        <w:t xml:space="preserve">Broadbent DM, Wang A, Cheyne CP, James MJ, Lathe J, Stratton IM, Roberts J, Moitt T, Vora JP, Gabbay M, García-Fiñana M, Harding SP and the ISDR Study Group. Safety and cost effectiveness of individualised screening for diabetic retinopathy: the ISDR open-label, equivalence randomised controlled trial. Diabetologia </w:t>
      </w:r>
      <w:r w:rsidR="00B061C7" w:rsidRPr="00B061C7">
        <w:t>2021;</w:t>
      </w:r>
      <w:r w:rsidR="00B061C7" w:rsidRPr="00B061C7">
        <w:rPr>
          <w:b/>
          <w:bCs/>
        </w:rPr>
        <w:t>64:</w:t>
      </w:r>
      <w:r w:rsidR="00B061C7" w:rsidRPr="00B061C7">
        <w:t>56–69</w:t>
      </w:r>
      <w:r w:rsidR="00B061C7">
        <w:t xml:space="preserve">. </w:t>
      </w:r>
      <w:r w:rsidR="005D1B11" w:rsidRPr="00110BD2">
        <w:t>https://doi.org/10.1007/s00125-020-05313-2</w:t>
      </w:r>
    </w:p>
    <w:p w14:paraId="2CB8BC9C" w14:textId="168D3427" w:rsidR="00B82001" w:rsidRDefault="00FD665C" w:rsidP="009E5469">
      <w:pPr>
        <w:pStyle w:val="References"/>
        <w:tabs>
          <w:tab w:val="clear" w:pos="284"/>
          <w:tab w:val="left" w:pos="426"/>
        </w:tabs>
        <w:ind w:left="392" w:hanging="416"/>
      </w:pPr>
      <w:r>
        <w:t>24</w:t>
      </w:r>
      <w:r w:rsidR="005D1B11">
        <w:t xml:space="preserve">.  </w:t>
      </w:r>
      <w:r w:rsidR="005D1B11" w:rsidRPr="00B82001">
        <w:t>Byrne P, Thetford C, Gabbay M, Clarke P, Doncaster E, Harding SP; ISDR Study Group. Personalising screening of sight-threatening diabetic retinopathy - qualitative evidence to inform effective implementation. BMC Public Health. 2020;</w:t>
      </w:r>
      <w:r w:rsidR="005D1B11" w:rsidRPr="00B061C7">
        <w:rPr>
          <w:b/>
          <w:bCs/>
        </w:rPr>
        <w:t>20:</w:t>
      </w:r>
      <w:r w:rsidR="005D1B11" w:rsidRPr="00B82001">
        <w:t>881.</w:t>
      </w:r>
      <w:r w:rsidR="005D1B11">
        <w:t xml:space="preserve"> </w:t>
      </w:r>
      <w:r w:rsidR="00191862" w:rsidRPr="00110BD2">
        <w:t>https://doi.org/10.1186/s12889-020-08974-1</w:t>
      </w:r>
    </w:p>
    <w:p w14:paraId="481CFBEA" w14:textId="0958A490" w:rsidR="00191862" w:rsidRDefault="00191862" w:rsidP="009E5469">
      <w:pPr>
        <w:pStyle w:val="References"/>
        <w:tabs>
          <w:tab w:val="clear" w:pos="284"/>
          <w:tab w:val="left" w:pos="426"/>
        </w:tabs>
        <w:ind w:left="392" w:hanging="416"/>
      </w:pPr>
      <w:r>
        <w:t>2</w:t>
      </w:r>
      <w:r w:rsidR="00FD665C">
        <w:t>5</w:t>
      </w:r>
      <w:r>
        <w:t xml:space="preserve">.  </w:t>
      </w:r>
      <w:r w:rsidRPr="00191862">
        <w:t xml:space="preserve">Cheyne CP, Burgess PI, Broadbent DM, García-Fiñana M, Stratton IM, Criddle T, Wang A, Al Shukri A, Mobayen Rahni M, Vasquez Arango P, Vora JP, Harding SP,. Incidence of sight-threatening diabetic retinopathy in an established urban screening programme: An 11-year cohort study. Diabet Med. 2021;00:e14583 </w:t>
      </w:r>
      <w:r>
        <w:t>h</w:t>
      </w:r>
      <w:r w:rsidRPr="00191862">
        <w:t>ttps://doi.org/10.1111/dme.14583</w:t>
      </w:r>
    </w:p>
    <w:p w14:paraId="25F28A6A" w14:textId="3408CBB0" w:rsidR="007F0C72" w:rsidRDefault="005D1B11" w:rsidP="009E5469">
      <w:pPr>
        <w:pStyle w:val="References"/>
        <w:tabs>
          <w:tab w:val="clear" w:pos="284"/>
          <w:tab w:val="left" w:pos="426"/>
        </w:tabs>
        <w:ind w:left="392" w:hanging="416"/>
      </w:pPr>
      <w:r>
        <w:t>26</w:t>
      </w:r>
      <w:r w:rsidR="00A62AFA">
        <w:t>.</w:t>
      </w:r>
      <w:r w:rsidR="007F0C72" w:rsidRPr="007F0C72">
        <w:t xml:space="preserve"> </w:t>
      </w:r>
      <w:r w:rsidR="009E5469">
        <w:t xml:space="preserve"> </w:t>
      </w:r>
      <w:r w:rsidR="007F0C72">
        <w:t>INVOLVE: Briefing notes for researchers, February 2012. Accessed 26</w:t>
      </w:r>
      <w:r w:rsidR="007F0C72" w:rsidRPr="007F0C72">
        <w:rPr>
          <w:vertAlign w:val="superscript"/>
        </w:rPr>
        <w:t>th</w:t>
      </w:r>
      <w:r w:rsidR="007F0C72">
        <w:t xml:space="preserve"> August 2019. </w:t>
      </w:r>
      <w:r w:rsidR="007F0C72" w:rsidRPr="00110BD2">
        <w:t>https://www.invo.org.uk/wp-content/uploads/2014/11/9938_INVOLVE_Briefing_Notes_WEB.pdf</w:t>
      </w:r>
    </w:p>
    <w:p w14:paraId="2884534D" w14:textId="3547C188" w:rsidR="007F0C72" w:rsidRDefault="005D1B11" w:rsidP="009E5469">
      <w:pPr>
        <w:pStyle w:val="References"/>
        <w:tabs>
          <w:tab w:val="clear" w:pos="284"/>
          <w:tab w:val="left" w:pos="426"/>
        </w:tabs>
        <w:ind w:left="392" w:hanging="416"/>
      </w:pPr>
      <w:r>
        <w:t>27</w:t>
      </w:r>
      <w:r w:rsidR="00A0427B">
        <w:t xml:space="preserve">. </w:t>
      </w:r>
      <w:r w:rsidR="009E5469">
        <w:t xml:space="preserve"> </w:t>
      </w:r>
      <w:r w:rsidR="00D00901" w:rsidRPr="00D00901">
        <w:t xml:space="preserve">Structured Systems Analysis </w:t>
      </w:r>
      <w:r w:rsidR="00B061C7">
        <w:t>a</w:t>
      </w:r>
      <w:r w:rsidR="00D00901" w:rsidRPr="00D00901">
        <w:t>nd Design Method (SSADM)</w:t>
      </w:r>
      <w:r w:rsidR="00D00901">
        <w:t xml:space="preserve"> definition. </w:t>
      </w:r>
      <w:r w:rsidR="007F0C72" w:rsidRPr="007F0C72">
        <w:t>Accessed 5th November 2019.</w:t>
      </w:r>
      <w:r w:rsidR="007F0C72" w:rsidRPr="00110BD2">
        <w:t>https://www.techopedia.com/definition/3983/structured-systems-analysis-and-design-method-ssadm</w:t>
      </w:r>
      <w:r w:rsidR="007F0C72">
        <w:t xml:space="preserve">. </w:t>
      </w:r>
    </w:p>
    <w:p w14:paraId="1915430F" w14:textId="7C0DF61B" w:rsidR="007F0C72" w:rsidRDefault="005D1B11" w:rsidP="009E5469">
      <w:pPr>
        <w:pStyle w:val="References"/>
        <w:tabs>
          <w:tab w:val="clear" w:pos="284"/>
          <w:tab w:val="left" w:pos="426"/>
        </w:tabs>
        <w:ind w:left="392" w:hanging="416"/>
        <w:rPr>
          <w:rStyle w:val="Hyperlink"/>
        </w:rPr>
      </w:pPr>
      <w:r>
        <w:t>28</w:t>
      </w:r>
      <w:r w:rsidR="007F0C72">
        <w:t xml:space="preserve">. </w:t>
      </w:r>
      <w:r w:rsidR="009E5469">
        <w:t xml:space="preserve"> </w:t>
      </w:r>
      <w:r w:rsidR="00D00901">
        <w:t xml:space="preserve">Data point definition. </w:t>
      </w:r>
      <w:r w:rsidR="007F0C72">
        <w:t>Accessed 27</w:t>
      </w:r>
      <w:r w:rsidR="007F0C72" w:rsidRPr="008505A9">
        <w:rPr>
          <w:vertAlign w:val="superscript"/>
        </w:rPr>
        <w:t>th</w:t>
      </w:r>
      <w:r w:rsidR="007F0C72">
        <w:t xml:space="preserve"> September 2019.</w:t>
      </w:r>
      <w:r w:rsidR="00D00901">
        <w:t xml:space="preserve"> </w:t>
      </w:r>
      <w:r w:rsidR="007F0C72" w:rsidRPr="00110BD2">
        <w:t>https://whatis.techtarget.com/definition/data-point</w:t>
      </w:r>
    </w:p>
    <w:p w14:paraId="60B0FAC0" w14:textId="2EA7B917" w:rsidR="00951BB9" w:rsidRDefault="00186084" w:rsidP="009E5469">
      <w:pPr>
        <w:pStyle w:val="References"/>
        <w:tabs>
          <w:tab w:val="clear" w:pos="284"/>
          <w:tab w:val="left" w:pos="426"/>
        </w:tabs>
        <w:ind w:left="392" w:hanging="416"/>
      </w:pPr>
      <w:r>
        <w:t>29</w:t>
      </w:r>
      <w:r w:rsidR="00951BB9">
        <w:t>.</w:t>
      </w:r>
      <w:r w:rsidR="00951BB9">
        <w:tab/>
        <w:t>Papoulis A</w:t>
      </w:r>
      <w:r w:rsidR="00D55098">
        <w:t>.</w:t>
      </w:r>
      <w:r w:rsidR="00951BB9">
        <w:t xml:space="preserve"> Probability, random variables, and stochastic processes. 3rd edition. McGraw-Hill New York</w:t>
      </w:r>
      <w:r w:rsidR="00D55098">
        <w:t xml:space="preserve"> 1991</w:t>
      </w:r>
    </w:p>
    <w:p w14:paraId="00907D46" w14:textId="555029A1" w:rsidR="00951BB9" w:rsidRDefault="00AA4E46" w:rsidP="009E5469">
      <w:pPr>
        <w:pStyle w:val="References"/>
        <w:tabs>
          <w:tab w:val="clear" w:pos="284"/>
          <w:tab w:val="left" w:pos="426"/>
        </w:tabs>
        <w:ind w:left="392" w:hanging="416"/>
      </w:pPr>
      <w:r>
        <w:t>30</w:t>
      </w:r>
      <w:r w:rsidR="00951BB9">
        <w:t>.</w:t>
      </w:r>
      <w:r w:rsidR="00951BB9">
        <w:tab/>
        <w:t>Stratton IM, Aldington SJ, Taylor DJ, Adler AI, Scanlon PS</w:t>
      </w:r>
      <w:r w:rsidR="00BA305C">
        <w:t>.</w:t>
      </w:r>
      <w:r w:rsidR="00951BB9">
        <w:t xml:space="preserve"> A simple risk stratification for time to development of sight-threatening diabetic retinopathy. Diabetes Care </w:t>
      </w:r>
      <w:r w:rsidR="00D55098">
        <w:t>2013;</w:t>
      </w:r>
      <w:r w:rsidR="00951BB9" w:rsidRPr="00D55098">
        <w:rPr>
          <w:b/>
          <w:bCs/>
        </w:rPr>
        <w:t>36:</w:t>
      </w:r>
      <w:r w:rsidR="00951BB9">
        <w:t>580-585</w:t>
      </w:r>
      <w:r w:rsidR="00D55098">
        <w:t>.</w:t>
      </w:r>
    </w:p>
    <w:p w14:paraId="70D19A14" w14:textId="3533661E" w:rsidR="0090266A" w:rsidRDefault="00AA4E46" w:rsidP="009E5469">
      <w:pPr>
        <w:pStyle w:val="References"/>
        <w:tabs>
          <w:tab w:val="clear" w:pos="284"/>
          <w:tab w:val="left" w:pos="426"/>
        </w:tabs>
        <w:ind w:left="392" w:hanging="416"/>
      </w:pPr>
      <w:r>
        <w:t>31</w:t>
      </w:r>
      <w:r w:rsidR="0090266A">
        <w:t>.</w:t>
      </w:r>
      <w:r w:rsidR="0090266A">
        <w:tab/>
        <w:t>Austin PC, van Klaveren D, Vergouwe Y, Nieboer D, Lee DS</w:t>
      </w:r>
      <w:r w:rsidR="00D55098">
        <w:t xml:space="preserve">, </w:t>
      </w:r>
      <w:r w:rsidR="0090266A">
        <w:t xml:space="preserve">Steyerberg EW. Geographic and temporal validity of prediction models: different approaches were useful to examine model performance. J Clin Epidemiol; </w:t>
      </w:r>
      <w:r w:rsidR="00D55098">
        <w:t>2016;</w:t>
      </w:r>
      <w:r w:rsidR="0090266A" w:rsidRPr="00D55098">
        <w:rPr>
          <w:b/>
          <w:bCs/>
        </w:rPr>
        <w:t>79:</w:t>
      </w:r>
      <w:r w:rsidR="0090266A">
        <w:t>76-85.</w:t>
      </w:r>
    </w:p>
    <w:p w14:paraId="5B9A546A" w14:textId="54D61657" w:rsidR="006645A6" w:rsidRDefault="00AA4E46" w:rsidP="009E5469">
      <w:pPr>
        <w:pStyle w:val="References"/>
        <w:tabs>
          <w:tab w:val="clear" w:pos="284"/>
          <w:tab w:val="left" w:pos="426"/>
        </w:tabs>
        <w:ind w:left="392" w:hanging="416"/>
      </w:pPr>
      <w:r>
        <w:t>32</w:t>
      </w:r>
      <w:r w:rsidR="0090266A">
        <w:t xml:space="preserve">. </w:t>
      </w:r>
      <w:r w:rsidR="009E5469">
        <w:t xml:space="preserve"> </w:t>
      </w:r>
      <w:r w:rsidR="0090266A">
        <w:t>van der Heijden AAWA, Walraven I, van 't Riet E</w:t>
      </w:r>
      <w:r w:rsidR="00D55098">
        <w:t>.</w:t>
      </w:r>
      <w:r w:rsidR="0090266A">
        <w:t xml:space="preserve"> Validation of a model to estimate personalised screening frequency to monitor diabetic retinopathy. Diabetologia </w:t>
      </w:r>
      <w:r w:rsidR="00D55098">
        <w:t>2014;</w:t>
      </w:r>
      <w:r w:rsidR="0090266A" w:rsidRPr="00D55098">
        <w:rPr>
          <w:b/>
          <w:bCs/>
        </w:rPr>
        <w:t>57:</w:t>
      </w:r>
      <w:r w:rsidR="0090266A">
        <w:t>1332-1338</w:t>
      </w:r>
    </w:p>
    <w:p w14:paraId="14466CCA" w14:textId="3DE96A7D" w:rsidR="00AA4E46" w:rsidRDefault="00AA4E46" w:rsidP="00AA4E46">
      <w:pPr>
        <w:pStyle w:val="References"/>
        <w:tabs>
          <w:tab w:val="left" w:pos="426"/>
        </w:tabs>
        <w:ind w:left="392" w:hanging="416"/>
      </w:pPr>
      <w:r>
        <w:t>33.</w:t>
      </w:r>
      <w:r>
        <w:tab/>
        <w:t xml:space="preserve">  van der Heijden AA, Nijpels G, Badloe F, et al. Prediction models for development of retinopathy in people with type 2 diabetes: systematic review and external validation in a Dutch primary care setting. </w:t>
      </w:r>
      <w:r w:rsidRPr="00D1238B">
        <w:t>Diabetologia 2020</w:t>
      </w:r>
      <w:r>
        <w:t>;</w:t>
      </w:r>
      <w:r w:rsidRPr="00D55098">
        <w:rPr>
          <w:b/>
          <w:bCs/>
        </w:rPr>
        <w:t>63:</w:t>
      </w:r>
      <w:r w:rsidRPr="00D1238B">
        <w:t>1110–1119</w:t>
      </w:r>
    </w:p>
    <w:p w14:paraId="5E01A779" w14:textId="3423EDA9" w:rsidR="0090266A" w:rsidRDefault="00AA4E46" w:rsidP="009E5469">
      <w:pPr>
        <w:pStyle w:val="References"/>
        <w:tabs>
          <w:tab w:val="clear" w:pos="284"/>
          <w:tab w:val="left" w:pos="426"/>
        </w:tabs>
        <w:ind w:left="392" w:hanging="416"/>
      </w:pPr>
      <w:r>
        <w:t>34</w:t>
      </w:r>
      <w:r w:rsidR="0090266A">
        <w:t xml:space="preserve">. </w:t>
      </w:r>
      <w:r w:rsidR="009E5469">
        <w:t xml:space="preserve"> </w:t>
      </w:r>
      <w:r w:rsidR="0090266A">
        <w:t>Porta M, Maurino M, Severini S, et al</w:t>
      </w:r>
      <w:r w:rsidR="00D55098">
        <w:t>.</w:t>
      </w:r>
      <w:r w:rsidR="0090266A">
        <w:t xml:space="preserve"> Clinical characteristics influence screening intervals for diabetic retinopathy. Diabetologia </w:t>
      </w:r>
      <w:r w:rsidR="00D55098">
        <w:t>2013;</w:t>
      </w:r>
      <w:r w:rsidR="0090266A" w:rsidRPr="00D55098">
        <w:rPr>
          <w:b/>
          <w:bCs/>
        </w:rPr>
        <w:t>56:</w:t>
      </w:r>
      <w:r w:rsidR="0090266A">
        <w:t>2147–2152</w:t>
      </w:r>
    </w:p>
    <w:p w14:paraId="6C6B0CE9" w14:textId="61612F01" w:rsidR="007853DE" w:rsidRDefault="00AA4E46" w:rsidP="009E5469">
      <w:pPr>
        <w:pStyle w:val="References"/>
        <w:tabs>
          <w:tab w:val="clear" w:pos="284"/>
          <w:tab w:val="left" w:pos="426"/>
        </w:tabs>
        <w:ind w:left="392" w:hanging="416"/>
      </w:pPr>
      <w:r>
        <w:t>35</w:t>
      </w:r>
      <w:r w:rsidR="007853DE">
        <w:t>.</w:t>
      </w:r>
      <w:r w:rsidR="007853DE">
        <w:tab/>
        <w:t>Moons KGM, Kengne AP, Woodward M, et al</w:t>
      </w:r>
      <w:r w:rsidR="00D55098">
        <w:t>.</w:t>
      </w:r>
      <w:r w:rsidR="007853DE">
        <w:t xml:space="preserve"> Risk prediction models: I. Development, internal validation, and assessing the incremental value of a new (bio)marker. Heart </w:t>
      </w:r>
      <w:r w:rsidR="00D55098">
        <w:t>2012;</w:t>
      </w:r>
      <w:r w:rsidR="007853DE" w:rsidRPr="00D55098">
        <w:rPr>
          <w:b/>
          <w:bCs/>
        </w:rPr>
        <w:t>98:</w:t>
      </w:r>
      <w:r w:rsidR="007853DE">
        <w:t>683-690</w:t>
      </w:r>
    </w:p>
    <w:p w14:paraId="61DB2A13" w14:textId="6855258F" w:rsidR="007853DE" w:rsidRDefault="00AA4E46" w:rsidP="009E5469">
      <w:pPr>
        <w:pStyle w:val="References"/>
        <w:tabs>
          <w:tab w:val="clear" w:pos="284"/>
          <w:tab w:val="left" w:pos="426"/>
        </w:tabs>
        <w:ind w:left="392" w:hanging="416"/>
      </w:pPr>
      <w:r w:rsidRPr="00C768CE">
        <w:t>36</w:t>
      </w:r>
      <w:r w:rsidR="007853DE" w:rsidRPr="00C768CE">
        <w:t>.</w:t>
      </w:r>
      <w:r w:rsidR="007853DE" w:rsidRPr="00C768CE">
        <w:tab/>
        <w:t>Moons KGM, Kengne AP, Grobbee DE, et al</w:t>
      </w:r>
      <w:r w:rsidR="00D55098" w:rsidRPr="00C768CE">
        <w:t>.</w:t>
      </w:r>
      <w:r w:rsidR="007853DE" w:rsidRPr="00C768CE">
        <w:t xml:space="preserve"> </w:t>
      </w:r>
      <w:r w:rsidR="007853DE">
        <w:t>Risk prediction models: II. External validation, model updating, and impact assessment. Heart 2012;</w:t>
      </w:r>
      <w:r w:rsidR="007853DE" w:rsidRPr="00D55098">
        <w:rPr>
          <w:b/>
          <w:bCs/>
        </w:rPr>
        <w:t>98:</w:t>
      </w:r>
      <w:r w:rsidR="007853DE">
        <w:t>691-8</w:t>
      </w:r>
    </w:p>
    <w:p w14:paraId="364A6DBB" w14:textId="70FD5BE9" w:rsidR="0049450B" w:rsidRDefault="00AA4E46" w:rsidP="009E5469">
      <w:pPr>
        <w:pStyle w:val="References"/>
        <w:tabs>
          <w:tab w:val="clear" w:pos="284"/>
          <w:tab w:val="left" w:pos="426"/>
        </w:tabs>
        <w:ind w:left="392" w:hanging="416"/>
      </w:pPr>
      <w:r>
        <w:t>37</w:t>
      </w:r>
      <w:r w:rsidR="0049450B">
        <w:t>.</w:t>
      </w:r>
      <w:r w:rsidR="0049450B">
        <w:tab/>
        <w:t>Klonoff DC. Personalized medicine for diabetes. J Diabetes Sci Technol 2008:</w:t>
      </w:r>
      <w:r w:rsidR="0049450B" w:rsidRPr="00D55098">
        <w:rPr>
          <w:b/>
          <w:bCs/>
        </w:rPr>
        <w:t>2:</w:t>
      </w:r>
      <w:r w:rsidR="0049450B">
        <w:t xml:space="preserve">335-341. </w:t>
      </w:r>
    </w:p>
    <w:p w14:paraId="606070AE" w14:textId="40F105A1" w:rsidR="0049450B" w:rsidRDefault="00AA4E46" w:rsidP="009E5469">
      <w:pPr>
        <w:pStyle w:val="References"/>
        <w:tabs>
          <w:tab w:val="clear" w:pos="284"/>
          <w:tab w:val="left" w:pos="426"/>
        </w:tabs>
        <w:ind w:left="392" w:hanging="416"/>
      </w:pPr>
      <w:r>
        <w:t>38</w:t>
      </w:r>
      <w:r w:rsidR="0049450B">
        <w:t>.</w:t>
      </w:r>
      <w:r w:rsidR="0049450B">
        <w:tab/>
        <w:t>Muir Gray JA. The shift to personalised and population medicine. Lancet 2013;</w:t>
      </w:r>
      <w:r w:rsidR="0049450B" w:rsidRPr="00D55098">
        <w:rPr>
          <w:b/>
          <w:bCs/>
        </w:rPr>
        <w:t>382:</w:t>
      </w:r>
      <w:r w:rsidR="0049450B">
        <w:t>200-201</w:t>
      </w:r>
    </w:p>
    <w:p w14:paraId="7650EAF4" w14:textId="77777777" w:rsidR="00AA4E46" w:rsidRDefault="00AA4E46" w:rsidP="00AA4E46">
      <w:pPr>
        <w:pStyle w:val="References"/>
        <w:tabs>
          <w:tab w:val="clear" w:pos="284"/>
          <w:tab w:val="left" w:pos="426"/>
        </w:tabs>
        <w:ind w:left="392" w:hanging="416"/>
      </w:pPr>
      <w:r>
        <w:t>39.  Olafsdottir E, Stefansson E (2007) Biennial eye screening in patients with diabetes without retinopathy: 10-year experience. Br J Ophthalmol 2007;</w:t>
      </w:r>
      <w:r w:rsidRPr="00D55098">
        <w:rPr>
          <w:b/>
          <w:bCs/>
        </w:rPr>
        <w:t>91:</w:t>
      </w:r>
      <w:r>
        <w:t>1599–1601</w:t>
      </w:r>
    </w:p>
    <w:p w14:paraId="1952844F" w14:textId="77777777" w:rsidR="00AA4E46" w:rsidRDefault="00AA4E46" w:rsidP="00AA4E46">
      <w:pPr>
        <w:pStyle w:val="References"/>
        <w:tabs>
          <w:tab w:val="clear" w:pos="284"/>
          <w:tab w:val="left" w:pos="426"/>
        </w:tabs>
        <w:ind w:left="392" w:hanging="416"/>
      </w:pPr>
      <w:r>
        <w:t xml:space="preserve">40.  Basu S, Sussman JB, Berkowitz SA et al Validation of risk equations for complications of type 2 diabetes (RECODe) using individual participant data from diverse longitudinal cohorts in the US. Diabetes Care 2018; </w:t>
      </w:r>
      <w:r w:rsidRPr="00D55098">
        <w:rPr>
          <w:b/>
          <w:bCs/>
        </w:rPr>
        <w:t>41</w:t>
      </w:r>
      <w:r>
        <w:t xml:space="preserve">:586–595. </w:t>
      </w:r>
    </w:p>
    <w:p w14:paraId="0DAA934F" w14:textId="77777777" w:rsidR="00AA4E46" w:rsidRDefault="00AA4E46" w:rsidP="00AA4E46">
      <w:pPr>
        <w:pStyle w:val="References"/>
        <w:tabs>
          <w:tab w:val="clear" w:pos="284"/>
          <w:tab w:val="left" w:pos="426"/>
        </w:tabs>
        <w:ind w:left="392" w:hanging="416"/>
      </w:pPr>
      <w:r>
        <w:t>41.  Leese GP, Stratton IM, LandMet al. Progression of diabetes retinal status within community screening programs and potential implications for screening intervals. Diabetes Care 2015:</w:t>
      </w:r>
      <w:r w:rsidRPr="00D55098">
        <w:rPr>
          <w:b/>
          <w:bCs/>
        </w:rPr>
        <w:t>38:</w:t>
      </w:r>
      <w:r>
        <w:t xml:space="preserve">488–494. </w:t>
      </w:r>
    </w:p>
    <w:p w14:paraId="335C485D" w14:textId="0A3C33AA" w:rsidR="00AA4E46" w:rsidRDefault="00AA4E46" w:rsidP="00AA4E46">
      <w:pPr>
        <w:pStyle w:val="References"/>
        <w:tabs>
          <w:tab w:val="left" w:pos="426"/>
        </w:tabs>
        <w:ind w:left="392" w:hanging="416"/>
      </w:pPr>
      <w:r>
        <w:t>42.  Scanlon PH, Aldington SJ, Leal J, et al. Development of a cost-effectiveness model for optimisation of the screening interval in diabetic retinopathy screening. Health Technol Assess 2015;</w:t>
      </w:r>
      <w:r w:rsidRPr="00D55098">
        <w:rPr>
          <w:b/>
          <w:bCs/>
        </w:rPr>
        <w:t>19:</w:t>
      </w:r>
      <w:r>
        <w:t>1–116.</w:t>
      </w:r>
    </w:p>
    <w:p w14:paraId="5DB12C35" w14:textId="1EE2780F" w:rsidR="0090266A" w:rsidRDefault="00AA4E46" w:rsidP="009E5469">
      <w:pPr>
        <w:pStyle w:val="References"/>
        <w:tabs>
          <w:tab w:val="clear" w:pos="284"/>
          <w:tab w:val="left" w:pos="426"/>
        </w:tabs>
        <w:ind w:left="392" w:hanging="416"/>
      </w:pPr>
      <w:r>
        <w:t>43</w:t>
      </w:r>
      <w:r w:rsidR="005B29CA">
        <w:t xml:space="preserve">. </w:t>
      </w:r>
      <w:r w:rsidR="009E5469">
        <w:t xml:space="preserve"> </w:t>
      </w:r>
      <w:r w:rsidR="00247418">
        <w:t>Herdman M, Gudex C, Lloyd A, Janssen M, Kind P, Parkin D, et al. Development and preliminary testing of the new five-level version of EQ-5D (EQ-5D-5L). Qual Life Res 2011</w:t>
      </w:r>
      <w:r w:rsidR="00D55098">
        <w:t>;</w:t>
      </w:r>
      <w:r w:rsidR="00247418" w:rsidRPr="00D55098">
        <w:rPr>
          <w:b/>
          <w:bCs/>
        </w:rPr>
        <w:t>20:</w:t>
      </w:r>
      <w:r w:rsidR="00247418">
        <w:t>1727–36.</w:t>
      </w:r>
    </w:p>
    <w:p w14:paraId="365338F6" w14:textId="245F5BD6" w:rsidR="005B29CA" w:rsidRDefault="00AA4E46" w:rsidP="009E5469">
      <w:pPr>
        <w:pStyle w:val="References"/>
        <w:tabs>
          <w:tab w:val="clear" w:pos="284"/>
          <w:tab w:val="left" w:pos="426"/>
        </w:tabs>
        <w:ind w:left="392" w:hanging="416"/>
      </w:pPr>
      <w:r>
        <w:t>44</w:t>
      </w:r>
      <w:r w:rsidR="005B29CA">
        <w:t>.</w:t>
      </w:r>
      <w:r w:rsidR="005B29CA" w:rsidRPr="005B29CA">
        <w:t xml:space="preserve"> </w:t>
      </w:r>
      <w:r w:rsidR="009E5469">
        <w:t xml:space="preserve"> </w:t>
      </w:r>
      <w:r w:rsidR="00247418">
        <w:t>Feeny D, Furlong W, Boyle M, Torrance GW. Multi-attribute health status classification systems. Health Utilities Index. Pharmacoeconomics 1995</w:t>
      </w:r>
      <w:r w:rsidR="00D55098">
        <w:t>;</w:t>
      </w:r>
      <w:r w:rsidR="00247418" w:rsidRPr="00D55098">
        <w:rPr>
          <w:b/>
          <w:bCs/>
        </w:rPr>
        <w:t>7:</w:t>
      </w:r>
      <w:r w:rsidR="00247418">
        <w:t xml:space="preserve">490–502. </w:t>
      </w:r>
    </w:p>
    <w:p w14:paraId="4589BDA4" w14:textId="7E2D85C4" w:rsidR="00AA4E46" w:rsidRPr="00295149" w:rsidRDefault="00AA4E46" w:rsidP="00AA4E46">
      <w:pPr>
        <w:pStyle w:val="References"/>
        <w:tabs>
          <w:tab w:val="clear" w:pos="284"/>
          <w:tab w:val="left" w:pos="426"/>
        </w:tabs>
        <w:ind w:left="392" w:hanging="416"/>
      </w:pPr>
      <w:r>
        <w:t xml:space="preserve">45.  Hernandez-Alava M, Pudney S. eq5dmap: a command for mapping between EQ-5D-3L and EQ-5D-5L. </w:t>
      </w:r>
      <w:r w:rsidRPr="00295149">
        <w:t xml:space="preserve">Stata J </w:t>
      </w:r>
      <w:r>
        <w:t xml:space="preserve"> 2018;</w:t>
      </w:r>
      <w:r w:rsidRPr="00AA4E46">
        <w:t>18:</w:t>
      </w:r>
      <w:r w:rsidRPr="00295149">
        <w:t>395–415.</w:t>
      </w:r>
    </w:p>
    <w:p w14:paraId="503D1AEA" w14:textId="77777777" w:rsidR="00AA4E46" w:rsidRDefault="00AA4E46" w:rsidP="00AA4E46">
      <w:pPr>
        <w:pStyle w:val="References"/>
        <w:tabs>
          <w:tab w:val="clear" w:pos="284"/>
          <w:tab w:val="left" w:pos="426"/>
        </w:tabs>
        <w:ind w:left="392" w:hanging="416"/>
      </w:pPr>
      <w:r>
        <w:t>46.  Dolan P. Modelling valuations for EuroQol health states. Med Care 1997;</w:t>
      </w:r>
      <w:r w:rsidRPr="00AA4E46">
        <w:t>35:</w:t>
      </w:r>
      <w:r>
        <w:t xml:space="preserve">1095–1108. </w:t>
      </w:r>
    </w:p>
    <w:p w14:paraId="533E50C8" w14:textId="77777777" w:rsidR="00AA4E46" w:rsidRDefault="00AA4E46" w:rsidP="00AA4E46">
      <w:pPr>
        <w:pStyle w:val="References"/>
        <w:tabs>
          <w:tab w:val="clear" w:pos="284"/>
          <w:tab w:val="left" w:pos="426"/>
        </w:tabs>
        <w:ind w:left="392" w:hanging="416"/>
      </w:pPr>
      <w:r>
        <w:t>47.  FurlongW, Feeny D, Torrance G, et al. Multiplicative multiattribute utility function for the Health Utilities Index Mark 3 (HUI3) system: a technical report. Centre for Health Economics and Policy Analysis (CHEPA), McMaster University, Hamilton, Canada 1998</w:t>
      </w:r>
    </w:p>
    <w:p w14:paraId="601E65A2" w14:textId="77777777" w:rsidR="00AA4E46" w:rsidRDefault="00AA4E46" w:rsidP="00AA4E46">
      <w:pPr>
        <w:pStyle w:val="References"/>
        <w:tabs>
          <w:tab w:val="clear" w:pos="284"/>
          <w:tab w:val="left" w:pos="426"/>
        </w:tabs>
        <w:ind w:left="392" w:hanging="416"/>
      </w:pPr>
      <w:r w:rsidRPr="00AA4E46">
        <w:t>4</w:t>
      </w:r>
      <w:r>
        <w:t>8</w:t>
      </w:r>
      <w:r w:rsidRPr="00AA4E46">
        <w:t xml:space="preserve">. </w:t>
      </w:r>
      <w:r>
        <w:t xml:space="preserve"> </w:t>
      </w:r>
      <w:r w:rsidRPr="00AA4E46">
        <w:t xml:space="preserve">Schomaker M, Heumann C. Bootstrap inference when using multiple imputation. Stat Med 2018;37:2252–2266. </w:t>
      </w:r>
    </w:p>
    <w:p w14:paraId="64F60FDB" w14:textId="092DDAE9" w:rsidR="00AA4E46" w:rsidRDefault="00AA4E46" w:rsidP="00AA4E46">
      <w:pPr>
        <w:pStyle w:val="References"/>
        <w:tabs>
          <w:tab w:val="clear" w:pos="284"/>
          <w:tab w:val="left" w:pos="426"/>
        </w:tabs>
        <w:ind w:left="392" w:hanging="416"/>
      </w:pPr>
      <w:r w:rsidRPr="00900B4F">
        <w:rPr>
          <w:szCs w:val="24"/>
        </w:rPr>
        <w:t>4</w:t>
      </w:r>
      <w:r>
        <w:t>9</w:t>
      </w:r>
      <w:r w:rsidRPr="00900B4F">
        <w:rPr>
          <w:szCs w:val="24"/>
        </w:rPr>
        <w:t xml:space="preserve">. </w:t>
      </w:r>
      <w:r>
        <w:rPr>
          <w:szCs w:val="24"/>
        </w:rPr>
        <w:t xml:space="preserve"> </w:t>
      </w:r>
      <w:r w:rsidRPr="00900B4F">
        <w:rPr>
          <w:szCs w:val="24"/>
        </w:rPr>
        <w:t xml:space="preserve">Rubin DB. Multiple imputation after 18+ years. J Am Stat Assoc 1996;91:473–489. </w:t>
      </w:r>
    </w:p>
    <w:p w14:paraId="6EED84AE" w14:textId="5E055157" w:rsidR="00247418" w:rsidRDefault="00AA4E46" w:rsidP="009E5469">
      <w:pPr>
        <w:pStyle w:val="References"/>
        <w:tabs>
          <w:tab w:val="clear" w:pos="284"/>
          <w:tab w:val="left" w:pos="426"/>
        </w:tabs>
        <w:ind w:left="392" w:hanging="416"/>
      </w:pPr>
      <w:r>
        <w:t>50</w:t>
      </w:r>
      <w:r w:rsidR="00247418">
        <w:t xml:space="preserve">. </w:t>
      </w:r>
      <w:r w:rsidR="009E5469">
        <w:t xml:space="preserve"> </w:t>
      </w:r>
      <w:r w:rsidR="00247418">
        <w:t xml:space="preserve">National Institute for Health and Care Excellence. Guide to the methods of technology appraisal 2013. NICE article [PMG9]. </w:t>
      </w:r>
      <w:r w:rsidR="0002760D">
        <w:t>Accessed 23</w:t>
      </w:r>
      <w:r w:rsidR="0002760D" w:rsidRPr="00B82001">
        <w:rPr>
          <w:vertAlign w:val="superscript"/>
        </w:rPr>
        <w:t>rd</w:t>
      </w:r>
      <w:r w:rsidR="0002760D">
        <w:t xml:space="preserve"> January 2019. </w:t>
      </w:r>
      <w:r w:rsidR="00247418" w:rsidRPr="00110BD2">
        <w:t>https://www.nice.org.uk/article/pmg9/chapter/Foreword</w:t>
      </w:r>
    </w:p>
    <w:p w14:paraId="04F47181" w14:textId="54A020C8" w:rsidR="00AA4E46" w:rsidRDefault="00AA4E46" w:rsidP="007765CB">
      <w:pPr>
        <w:pStyle w:val="References"/>
        <w:tabs>
          <w:tab w:val="clear" w:pos="284"/>
          <w:tab w:val="left" w:pos="426"/>
        </w:tabs>
        <w:ind w:left="392" w:hanging="416"/>
      </w:pPr>
      <w:r>
        <w:t>51</w:t>
      </w:r>
      <w:r w:rsidR="00247418">
        <w:t xml:space="preserve">. </w:t>
      </w:r>
      <w:r w:rsidR="009E5469">
        <w:t xml:space="preserve"> </w:t>
      </w:r>
      <w:r w:rsidR="00875C95">
        <w:t xml:space="preserve">Public Health England. </w:t>
      </w:r>
      <w:r w:rsidR="00E20801">
        <w:t>Report of the independent review of adult screening programmes in England. Accessed 28</w:t>
      </w:r>
      <w:r w:rsidR="00875C95" w:rsidRPr="00875C95">
        <w:rPr>
          <w:vertAlign w:val="superscript"/>
        </w:rPr>
        <w:t>th</w:t>
      </w:r>
      <w:r w:rsidR="00E20801">
        <w:t xml:space="preserve"> January 2020</w:t>
      </w:r>
      <w:r w:rsidR="00875C95">
        <w:t>.</w:t>
      </w:r>
      <w:r w:rsidR="009E25F5">
        <w:t xml:space="preserve"> </w:t>
      </w:r>
      <w:r w:rsidR="00E20801" w:rsidRPr="00110BD2">
        <w:t>https://www.england.nhs.uk/wp-content/uploads/2019/02/report-of-the-independent-review-of-adult-screening-programme-in-england.pdf</w:t>
      </w:r>
      <w:r w:rsidR="00E20801">
        <w:t xml:space="preserve"> </w:t>
      </w:r>
    </w:p>
    <w:p w14:paraId="373D5FB4" w14:textId="7E547122" w:rsidR="00186084" w:rsidRDefault="00186084" w:rsidP="00186084">
      <w:pPr>
        <w:pStyle w:val="References"/>
        <w:tabs>
          <w:tab w:val="clear" w:pos="284"/>
          <w:tab w:val="left" w:pos="142"/>
          <w:tab w:val="left" w:pos="426"/>
        </w:tabs>
        <w:ind w:left="392" w:hanging="416"/>
      </w:pPr>
      <w:r>
        <w:t>52.</w:t>
      </w:r>
      <w:r w:rsidRPr="00EE0120">
        <w:t xml:space="preserve"> </w:t>
      </w:r>
      <w:r>
        <w:t xml:space="preserve"> Flick U. An introduction to qualitative research (6th edition) 2018 London Sage Publications</w:t>
      </w:r>
    </w:p>
    <w:p w14:paraId="488D4DFD" w14:textId="088528DB" w:rsidR="00186084" w:rsidRDefault="00186084" w:rsidP="00186084">
      <w:pPr>
        <w:pStyle w:val="References"/>
        <w:tabs>
          <w:tab w:val="clear" w:pos="284"/>
          <w:tab w:val="left" w:pos="426"/>
        </w:tabs>
        <w:ind w:left="392" w:hanging="416"/>
      </w:pPr>
      <w:r>
        <w:t>53.  Galletta A. Mastering the semi-structured interview and beyond. 2013 New York NYU Press</w:t>
      </w:r>
    </w:p>
    <w:p w14:paraId="6FF5B554" w14:textId="777D04A4" w:rsidR="00186084" w:rsidRDefault="00186084" w:rsidP="00186084">
      <w:pPr>
        <w:pStyle w:val="References"/>
        <w:tabs>
          <w:tab w:val="clear" w:pos="284"/>
          <w:tab w:val="left" w:pos="426"/>
        </w:tabs>
        <w:ind w:left="392" w:hanging="416"/>
      </w:pPr>
      <w:r>
        <w:t>54.</w:t>
      </w:r>
      <w:r>
        <w:tab/>
        <w:t>Coffey A, Atkinson P. Making sense of qualitative data: complementary research strategies 2006 London Sage</w:t>
      </w:r>
    </w:p>
    <w:p w14:paraId="403A503A" w14:textId="1227F26E" w:rsidR="00186084" w:rsidRDefault="00186084" w:rsidP="00186084">
      <w:pPr>
        <w:pStyle w:val="References"/>
        <w:tabs>
          <w:tab w:val="clear" w:pos="284"/>
          <w:tab w:val="left" w:pos="426"/>
        </w:tabs>
        <w:ind w:left="392" w:hanging="416"/>
      </w:pPr>
      <w:r>
        <w:t>55.</w:t>
      </w:r>
      <w:r>
        <w:tab/>
        <w:t xml:space="preserve">Silverman D. Interpreting qualitative data (4th edition) 2011 London Sage  </w:t>
      </w:r>
    </w:p>
    <w:p w14:paraId="18248C87" w14:textId="218C1A57" w:rsidR="00186084" w:rsidRDefault="00186084" w:rsidP="00186084">
      <w:pPr>
        <w:pStyle w:val="References"/>
        <w:tabs>
          <w:tab w:val="clear" w:pos="284"/>
          <w:tab w:val="left" w:pos="426"/>
        </w:tabs>
        <w:ind w:left="392" w:hanging="416"/>
      </w:pPr>
      <w:r>
        <w:t>56.</w:t>
      </w:r>
      <w:r>
        <w:tab/>
        <w:t>Duffy SW, Tabar L, Olsen AH, Vitak B, Allgood PC, Chen THH, et al. Absolute numbers of lives saved and overdiagnosis in breast cancer screening, from a randomized trial and from the Breast Screening Programme in England. J Med Screening 2010;</w:t>
      </w:r>
      <w:r w:rsidRPr="00B061C7">
        <w:rPr>
          <w:b/>
          <w:bCs/>
        </w:rPr>
        <w:t>17:</w:t>
      </w:r>
      <w:r>
        <w:t>25-30.</w:t>
      </w:r>
    </w:p>
    <w:p w14:paraId="4D2FC725" w14:textId="16DB2DCF" w:rsidR="00186084" w:rsidRDefault="00186084" w:rsidP="00186084">
      <w:pPr>
        <w:pStyle w:val="References"/>
        <w:tabs>
          <w:tab w:val="clear" w:pos="284"/>
          <w:tab w:val="left" w:pos="426"/>
        </w:tabs>
        <w:ind w:left="392" w:hanging="416"/>
      </w:pPr>
      <w:r>
        <w:t>57.</w:t>
      </w:r>
      <w:r>
        <w:tab/>
        <w:t>Hipwell AE, Sturt J, Lindenmeyer A, Stratton I, Gadsby R, O’Hare P et al. Attitudes, access and anguish: a qualitative interview study of staff and patients’ experiences of diabetic retinopathy screening. BMJ Open 2014;</w:t>
      </w:r>
      <w:r w:rsidRPr="00B061C7">
        <w:rPr>
          <w:b/>
          <w:bCs/>
        </w:rPr>
        <w:t>4:</w:t>
      </w:r>
      <w:r>
        <w:t>e005498.</w:t>
      </w:r>
    </w:p>
    <w:p w14:paraId="3CF7C7CF" w14:textId="71792C7F" w:rsidR="00186084" w:rsidRDefault="00186084" w:rsidP="00186084">
      <w:pPr>
        <w:pStyle w:val="References"/>
        <w:tabs>
          <w:tab w:val="clear" w:pos="284"/>
          <w:tab w:val="left" w:pos="426"/>
        </w:tabs>
        <w:ind w:left="392" w:hanging="416"/>
      </w:pPr>
      <w:r>
        <w:t>58.</w:t>
      </w:r>
      <w:r>
        <w:tab/>
        <w:t>Moss SE, Klein R, Klein BE. Factors associated with having eye examinations in persons with diabetes. Arch Fam Med 1995;</w:t>
      </w:r>
      <w:r w:rsidRPr="00B061C7">
        <w:rPr>
          <w:b/>
          <w:bCs/>
        </w:rPr>
        <w:t>4:</w:t>
      </w:r>
      <w:r>
        <w:t>529–534.</w:t>
      </w:r>
    </w:p>
    <w:p w14:paraId="08B92339" w14:textId="50ACFD38" w:rsidR="00186084" w:rsidRPr="00186084" w:rsidRDefault="00186084" w:rsidP="00186084">
      <w:pPr>
        <w:pStyle w:val="References"/>
        <w:tabs>
          <w:tab w:val="clear" w:pos="284"/>
          <w:tab w:val="left" w:pos="426"/>
        </w:tabs>
        <w:ind w:left="392" w:hanging="416"/>
        <w:rPr>
          <w:lang w:val="fr-FR"/>
        </w:rPr>
      </w:pPr>
      <w:r>
        <w:t>59.</w:t>
      </w:r>
      <w:r>
        <w:tab/>
        <w:t xml:space="preserve">Gray RH, Blades C, Jobson T. Screening clinic non-attendance and the risk of sight threatening retinopathy. </w:t>
      </w:r>
      <w:r w:rsidRPr="00186084">
        <w:rPr>
          <w:lang w:val="fr-FR"/>
        </w:rPr>
        <w:t>Eur J Ophthalmol 2009;</w:t>
      </w:r>
      <w:r w:rsidRPr="00186084">
        <w:rPr>
          <w:b/>
          <w:bCs/>
          <w:lang w:val="fr-FR"/>
        </w:rPr>
        <w:t>19:</w:t>
      </w:r>
      <w:r w:rsidRPr="00186084">
        <w:rPr>
          <w:lang w:val="fr-FR"/>
        </w:rPr>
        <w:t>510.</w:t>
      </w:r>
    </w:p>
    <w:p w14:paraId="4188FF13" w14:textId="177B3B91" w:rsidR="00186084" w:rsidRDefault="00186084" w:rsidP="00186084">
      <w:pPr>
        <w:pStyle w:val="References"/>
        <w:tabs>
          <w:tab w:val="clear" w:pos="284"/>
          <w:tab w:val="left" w:pos="426"/>
        </w:tabs>
        <w:ind w:left="392" w:hanging="416"/>
      </w:pPr>
      <w:r>
        <w:rPr>
          <w:lang w:val="fr-FR"/>
        </w:rPr>
        <w:t>60</w:t>
      </w:r>
      <w:r w:rsidRPr="00B82001">
        <w:rPr>
          <w:lang w:val="fr-FR"/>
        </w:rPr>
        <w:t>.</w:t>
      </w:r>
      <w:r w:rsidRPr="00B82001">
        <w:rPr>
          <w:lang w:val="fr-FR"/>
        </w:rPr>
        <w:tab/>
        <w:t xml:space="preserve">Zoega GM, Gunnarsdottir T, Bjornsdottir S, et al. </w:t>
      </w:r>
      <w:r>
        <w:t>Screening compliance and visual outcome in diabetes. Acta Ophthalmol Scand 2005;</w:t>
      </w:r>
      <w:r w:rsidRPr="00D55098">
        <w:rPr>
          <w:b/>
          <w:bCs/>
        </w:rPr>
        <w:t>83:</w:t>
      </w:r>
      <w:r>
        <w:t>687–690.</w:t>
      </w:r>
    </w:p>
    <w:p w14:paraId="3FAE4CAD" w14:textId="363097DB" w:rsidR="00186084" w:rsidRDefault="00186084" w:rsidP="00186084">
      <w:pPr>
        <w:pStyle w:val="References"/>
        <w:tabs>
          <w:tab w:val="clear" w:pos="284"/>
          <w:tab w:val="left" w:pos="426"/>
        </w:tabs>
        <w:ind w:left="392" w:hanging="416"/>
      </w:pPr>
      <w:r>
        <w:t>61.  Applebee E. The barriers and enables that affect access to primary and secondary eye care services - Bradford site report. A report to RNIB by Shared. RNIB, 2012. Accessed 5</w:t>
      </w:r>
      <w:r w:rsidRPr="006645A6">
        <w:rPr>
          <w:vertAlign w:val="superscript"/>
        </w:rPr>
        <w:t>th</w:t>
      </w:r>
      <w:r>
        <w:t xml:space="preserve"> March 2019. </w:t>
      </w:r>
      <w:r w:rsidRPr="00110BD2">
        <w:t>http://www.rnib.org.uk/knowledge-and-research-hub/research-reports/prevention-sightloss/access-eye-care</w:t>
      </w:r>
      <w:r>
        <w:t xml:space="preserve"> </w:t>
      </w:r>
    </w:p>
    <w:p w14:paraId="1CC05B59" w14:textId="0355860A" w:rsidR="00186084" w:rsidRDefault="00186084" w:rsidP="00186084">
      <w:pPr>
        <w:pStyle w:val="References"/>
        <w:tabs>
          <w:tab w:val="clear" w:pos="284"/>
          <w:tab w:val="left" w:pos="426"/>
        </w:tabs>
        <w:ind w:left="392" w:hanging="416"/>
      </w:pPr>
      <w:r>
        <w:t>62.</w:t>
      </w:r>
      <w:r>
        <w:tab/>
        <w:t xml:space="preserve">Hurrell DD, Donohue S. The barriers and enablers that affect access to primary and secondary eye care services - Glasgow site report. RNIB/CEP/IR/Glasgow/01, 2012 </w:t>
      </w:r>
    </w:p>
    <w:p w14:paraId="1A7D1849" w14:textId="0303EEC0" w:rsidR="00186084" w:rsidRDefault="00186084" w:rsidP="00186084">
      <w:pPr>
        <w:pStyle w:val="References"/>
        <w:tabs>
          <w:tab w:val="clear" w:pos="284"/>
          <w:tab w:val="left" w:pos="426"/>
        </w:tabs>
        <w:ind w:left="392" w:hanging="416"/>
      </w:pPr>
      <w:r>
        <w:t xml:space="preserve">63.  Sachdeva A, Stratton IM, Unwin J, Moreton R, Scanlon PH. Diabetic retinopathy screening; Study to determine risk factors for non-attendance. Diabetes Prim Care 2012; </w:t>
      </w:r>
      <w:r w:rsidRPr="00D55098">
        <w:rPr>
          <w:b/>
          <w:bCs/>
        </w:rPr>
        <w:t>14:</w:t>
      </w:r>
      <w:r>
        <w:t>308–316.</w:t>
      </w:r>
    </w:p>
    <w:p w14:paraId="4C196FC7" w14:textId="48EAE94E" w:rsidR="00186084" w:rsidRPr="00254944" w:rsidRDefault="00186084" w:rsidP="00186084">
      <w:pPr>
        <w:pStyle w:val="References"/>
        <w:tabs>
          <w:tab w:val="clear" w:pos="284"/>
          <w:tab w:val="left" w:pos="426"/>
        </w:tabs>
        <w:ind w:left="392" w:hanging="416"/>
      </w:pPr>
      <w:r>
        <w:t>64.</w:t>
      </w:r>
      <w:r>
        <w:tab/>
        <w:t xml:space="preserve">Strutton R, Du Chemin A, Stratton IM, Forster AS. System-level and patient-level explanations for non-attendance at diabetic retinopathy screening in Sutton and Merton (London, UK): a qualitative analysis of a service evaluation. </w:t>
      </w:r>
      <w:r w:rsidRPr="00254944">
        <w:t>BMJ Open 2016;</w:t>
      </w:r>
      <w:r w:rsidRPr="00254944">
        <w:rPr>
          <w:b/>
          <w:bCs/>
        </w:rPr>
        <w:t>6:</w:t>
      </w:r>
      <w:r w:rsidRPr="00254944">
        <w:t>e010952.</w:t>
      </w:r>
    </w:p>
    <w:p w14:paraId="1DD398A2" w14:textId="1F739D0E" w:rsidR="0069732C" w:rsidRDefault="0069732C" w:rsidP="0069732C">
      <w:pPr>
        <w:pStyle w:val="References"/>
        <w:tabs>
          <w:tab w:val="clear" w:pos="284"/>
          <w:tab w:val="left" w:pos="426"/>
        </w:tabs>
        <w:ind w:left="392" w:hanging="416"/>
      </w:pPr>
      <w:r w:rsidRPr="00254944">
        <w:t xml:space="preserve">65.  </w:t>
      </w:r>
      <w:r w:rsidRPr="00AA4E46">
        <w:rPr>
          <w:lang w:val="fr-FR"/>
        </w:rPr>
        <w:t xml:space="preserve">Lian JX, Gangwani RA, McGhee SM, et al. </w:t>
      </w:r>
      <w:r>
        <w:t>Systematic screening for diabetic retinopathy (DR) in Hong Kong: prevalence of DR and visual impairment among diabetic population. Br J Ophthalmol 2016;</w:t>
      </w:r>
      <w:r w:rsidRPr="00D55098">
        <w:rPr>
          <w:b/>
          <w:bCs/>
        </w:rPr>
        <w:t>100:</w:t>
      </w:r>
      <w:r>
        <w:t>151–155</w:t>
      </w:r>
    </w:p>
    <w:p w14:paraId="5E06A6D4" w14:textId="5C364961" w:rsidR="00AC5F7F" w:rsidRPr="00953C5B" w:rsidRDefault="0061200B" w:rsidP="00031C35">
      <w:pPr>
        <w:pStyle w:val="References"/>
        <w:tabs>
          <w:tab w:val="clear" w:pos="284"/>
          <w:tab w:val="left" w:pos="426"/>
        </w:tabs>
        <w:ind w:left="392" w:hanging="416"/>
      </w:pPr>
      <w:r>
        <w:t>66</w:t>
      </w:r>
      <w:r w:rsidR="00AA4E46">
        <w:t xml:space="preserve">.  </w:t>
      </w:r>
      <w:r w:rsidR="00AA4E46" w:rsidRPr="0053673B">
        <w:t xml:space="preserve">Diabetic retinopathy screening: a short guide. Copenhagen: WHO Regional Office for Europe; 2020. </w:t>
      </w:r>
      <w:r w:rsidR="00AA4E46" w:rsidRPr="00AA4E46">
        <w:t>https://apps.who.int/iris/bitstream/handle/10665/336660/9789289055321-eng.pdf Accessed 21/1/2021</w:t>
      </w:r>
    </w:p>
    <w:sectPr w:rsidR="00AC5F7F" w:rsidRPr="00953C5B" w:rsidSect="005C38D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87691" w14:textId="77777777" w:rsidR="000964C9" w:rsidRDefault="000964C9" w:rsidP="00CD2E42">
      <w:r>
        <w:separator/>
      </w:r>
    </w:p>
  </w:endnote>
  <w:endnote w:type="continuationSeparator" w:id="0">
    <w:p w14:paraId="37166C8E" w14:textId="77777777" w:rsidR="000964C9" w:rsidRDefault="000964C9" w:rsidP="00CD2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dvTT20abcef8.B">
    <w:altName w:val="Cambria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AdvTT1a8a9c4a.BI">
    <w:altName w:val="Cambria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AdvTT247c4ade">
    <w:altName w:val="Cambria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AdvTTebabd7da">
    <w:altName w:val="Cambria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AdvTT118e7927">
    <w:altName w:val="Cambria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AdvTT6c1def61.B">
    <w:altName w:val="Cambria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﷽﷽﷽﷽﷽﷽﷽﷽rande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961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99BFE54" w14:textId="1F10B15C" w:rsidR="00994A2B" w:rsidRDefault="00994A2B" w:rsidP="008B4E7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6630A" w14:textId="77777777" w:rsidR="00994A2B" w:rsidRDefault="00994A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72832" w14:textId="77777777" w:rsidR="000964C9" w:rsidRDefault="000964C9" w:rsidP="00CD2E42">
      <w:r>
        <w:separator/>
      </w:r>
    </w:p>
  </w:footnote>
  <w:footnote w:type="continuationSeparator" w:id="0">
    <w:p w14:paraId="73FC4A87" w14:textId="77777777" w:rsidR="000964C9" w:rsidRDefault="000964C9" w:rsidP="00CD2E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62017" w14:textId="370B1A43" w:rsidR="00994A2B" w:rsidRPr="004736AA" w:rsidRDefault="00994A2B" w:rsidP="004736AA">
    <w:pPr>
      <w:pStyle w:val="Header"/>
      <w:jc w:val="right"/>
      <w:rPr>
        <w:rFonts w:cs="Arial"/>
        <w:sz w:val="20"/>
        <w:szCs w:val="20"/>
      </w:rPr>
    </w:pPr>
    <w:r>
      <w:rPr>
        <w:rFonts w:cs="Arial"/>
        <w:sz w:val="20"/>
        <w:szCs w:val="20"/>
      </w:rPr>
      <w:t xml:space="preserve">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B1B95" w14:textId="77777777" w:rsidR="00994A2B" w:rsidRDefault="00994A2B" w:rsidP="00FB1603">
    <w:pPr>
      <w:pStyle w:val="Header"/>
      <w:jc w:val="right"/>
      <w:rPr>
        <w:rFonts w:cs="Arial"/>
        <w:sz w:val="20"/>
        <w:szCs w:val="20"/>
      </w:rPr>
    </w:pPr>
    <w:r>
      <w:rPr>
        <w:rFonts w:cs="Arial"/>
        <w:sz w:val="20"/>
        <w:szCs w:val="20"/>
      </w:rPr>
      <w:t xml:space="preserve">     </w:t>
    </w:r>
  </w:p>
  <w:p w14:paraId="635DF3C0" w14:textId="77777777" w:rsidR="00994A2B" w:rsidRPr="006B52B6" w:rsidRDefault="00994A2B" w:rsidP="00FB1603">
    <w:pPr>
      <w:pStyle w:val="Header"/>
      <w:tabs>
        <w:tab w:val="center" w:pos="4680"/>
        <w:tab w:val="right" w:pos="93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84D42"/>
    <w:multiLevelType w:val="hybridMultilevel"/>
    <w:tmpl w:val="B1DE1AFC"/>
    <w:lvl w:ilvl="0" w:tplc="AC4EC17C">
      <w:start w:val="1"/>
      <w:numFmt w:val="decimal"/>
      <w:pStyle w:val="Numberedlist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8387E"/>
    <w:multiLevelType w:val="hybridMultilevel"/>
    <w:tmpl w:val="FB4894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2804B2"/>
    <w:multiLevelType w:val="hybridMultilevel"/>
    <w:tmpl w:val="640CB906"/>
    <w:lvl w:ilvl="0" w:tplc="9D206102">
      <w:start w:val="1"/>
      <w:numFmt w:val="bullet"/>
      <w:pStyle w:val="TOCHeading"/>
      <w:lvlText w:val=""/>
      <w:lvlJc w:val="left"/>
      <w:pPr>
        <w:ind w:left="720" w:hanging="360"/>
      </w:pPr>
      <w:rPr>
        <w:rFonts w:ascii="Symbol" w:hAnsi="Symbol" w:hint="default"/>
        <w:color w:val="5ED13E"/>
      </w:rPr>
    </w:lvl>
    <w:lvl w:ilvl="1" w:tplc="93AE26F8">
      <w:start w:val="1"/>
      <w:numFmt w:val="decimal"/>
      <w:lvlText w:val="%2."/>
      <w:lvlJc w:val="left"/>
      <w:pPr>
        <w:ind w:left="1800" w:hanging="72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CE3568"/>
    <w:multiLevelType w:val="hybridMultilevel"/>
    <w:tmpl w:val="4D2867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067BAC"/>
    <w:multiLevelType w:val="hybridMultilevel"/>
    <w:tmpl w:val="4D2867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661B9"/>
    <w:multiLevelType w:val="hybridMultilevel"/>
    <w:tmpl w:val="4CD847E2"/>
    <w:lvl w:ilvl="0" w:tplc="FAC04A5E">
      <w:start w:val="1"/>
      <w:numFmt w:val="bullet"/>
      <w:pStyle w:val="Bulletted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C7093D"/>
    <w:multiLevelType w:val="hybridMultilevel"/>
    <w:tmpl w:val="A3C2D260"/>
    <w:lvl w:ilvl="0" w:tplc="EB16371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901216"/>
    <w:multiLevelType w:val="hybridMultilevel"/>
    <w:tmpl w:val="0EF2AF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2E7CB5"/>
    <w:multiLevelType w:val="hybridMultilevel"/>
    <w:tmpl w:val="DE04C5C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F3262D2"/>
    <w:multiLevelType w:val="hybridMultilevel"/>
    <w:tmpl w:val="B84251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2151345">
    <w:abstractNumId w:val="5"/>
  </w:num>
  <w:num w:numId="2" w16cid:durableId="854729989">
    <w:abstractNumId w:val="3"/>
  </w:num>
  <w:num w:numId="3" w16cid:durableId="2142377511">
    <w:abstractNumId w:val="8"/>
  </w:num>
  <w:num w:numId="4" w16cid:durableId="2012175293">
    <w:abstractNumId w:val="0"/>
  </w:num>
  <w:num w:numId="5" w16cid:durableId="206449457">
    <w:abstractNumId w:val="2"/>
  </w:num>
  <w:num w:numId="6" w16cid:durableId="193662631">
    <w:abstractNumId w:val="4"/>
  </w:num>
  <w:num w:numId="7" w16cid:durableId="722486278">
    <w:abstractNumId w:val="7"/>
  </w:num>
  <w:num w:numId="8" w16cid:durableId="1923100372">
    <w:abstractNumId w:val="9"/>
  </w:num>
  <w:num w:numId="9" w16cid:durableId="1095444807">
    <w:abstractNumId w:val="6"/>
  </w:num>
  <w:num w:numId="10" w16cid:durableId="401833128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activeWritingStyle w:appName="MSWord" w:lang="es-ES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n-CA" w:vendorID="64" w:dllVersion="409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BC2"/>
    <w:rsid w:val="000009D8"/>
    <w:rsid w:val="00000F5B"/>
    <w:rsid w:val="000015B7"/>
    <w:rsid w:val="00001CCA"/>
    <w:rsid w:val="0000296F"/>
    <w:rsid w:val="00003131"/>
    <w:rsid w:val="00003B46"/>
    <w:rsid w:val="00003F98"/>
    <w:rsid w:val="00004887"/>
    <w:rsid w:val="00004956"/>
    <w:rsid w:val="00005E79"/>
    <w:rsid w:val="00006092"/>
    <w:rsid w:val="0000641D"/>
    <w:rsid w:val="00006C11"/>
    <w:rsid w:val="00006DAE"/>
    <w:rsid w:val="00007361"/>
    <w:rsid w:val="000103B2"/>
    <w:rsid w:val="00011ABB"/>
    <w:rsid w:val="000129F2"/>
    <w:rsid w:val="00012E9A"/>
    <w:rsid w:val="00012EFC"/>
    <w:rsid w:val="00013F4C"/>
    <w:rsid w:val="0001624A"/>
    <w:rsid w:val="00016A15"/>
    <w:rsid w:val="0001710E"/>
    <w:rsid w:val="00017169"/>
    <w:rsid w:val="00017E07"/>
    <w:rsid w:val="00020827"/>
    <w:rsid w:val="00020CB9"/>
    <w:rsid w:val="00021D79"/>
    <w:rsid w:val="0002234A"/>
    <w:rsid w:val="00022928"/>
    <w:rsid w:val="00022F96"/>
    <w:rsid w:val="00023999"/>
    <w:rsid w:val="00024274"/>
    <w:rsid w:val="00024564"/>
    <w:rsid w:val="00024B52"/>
    <w:rsid w:val="00025318"/>
    <w:rsid w:val="00025400"/>
    <w:rsid w:val="0002760D"/>
    <w:rsid w:val="000277D4"/>
    <w:rsid w:val="00027E59"/>
    <w:rsid w:val="00031774"/>
    <w:rsid w:val="000318ED"/>
    <w:rsid w:val="00031954"/>
    <w:rsid w:val="00031C35"/>
    <w:rsid w:val="00032711"/>
    <w:rsid w:val="0003325E"/>
    <w:rsid w:val="00033480"/>
    <w:rsid w:val="000336D1"/>
    <w:rsid w:val="000346C0"/>
    <w:rsid w:val="00034D76"/>
    <w:rsid w:val="00034E72"/>
    <w:rsid w:val="00034EDC"/>
    <w:rsid w:val="0003685E"/>
    <w:rsid w:val="00036A2B"/>
    <w:rsid w:val="00036D9C"/>
    <w:rsid w:val="0004066C"/>
    <w:rsid w:val="00040932"/>
    <w:rsid w:val="00040DC3"/>
    <w:rsid w:val="00041600"/>
    <w:rsid w:val="0004270D"/>
    <w:rsid w:val="00042716"/>
    <w:rsid w:val="00043EAC"/>
    <w:rsid w:val="0004400F"/>
    <w:rsid w:val="00044633"/>
    <w:rsid w:val="00044FCF"/>
    <w:rsid w:val="00044FED"/>
    <w:rsid w:val="00045645"/>
    <w:rsid w:val="00045993"/>
    <w:rsid w:val="00046156"/>
    <w:rsid w:val="00046752"/>
    <w:rsid w:val="00047358"/>
    <w:rsid w:val="00047A86"/>
    <w:rsid w:val="00050C94"/>
    <w:rsid w:val="000512F3"/>
    <w:rsid w:val="00051D08"/>
    <w:rsid w:val="00051F12"/>
    <w:rsid w:val="00051FA1"/>
    <w:rsid w:val="000523D0"/>
    <w:rsid w:val="0005240F"/>
    <w:rsid w:val="0005324C"/>
    <w:rsid w:val="000539D1"/>
    <w:rsid w:val="00054089"/>
    <w:rsid w:val="00054831"/>
    <w:rsid w:val="00054C99"/>
    <w:rsid w:val="000552B8"/>
    <w:rsid w:val="000557C0"/>
    <w:rsid w:val="00055B25"/>
    <w:rsid w:val="000561B0"/>
    <w:rsid w:val="00056836"/>
    <w:rsid w:val="0005767B"/>
    <w:rsid w:val="00057D74"/>
    <w:rsid w:val="0006078A"/>
    <w:rsid w:val="000615B6"/>
    <w:rsid w:val="00061781"/>
    <w:rsid w:val="0006181A"/>
    <w:rsid w:val="0006200D"/>
    <w:rsid w:val="000626CD"/>
    <w:rsid w:val="00062719"/>
    <w:rsid w:val="0006375A"/>
    <w:rsid w:val="0006442B"/>
    <w:rsid w:val="00065091"/>
    <w:rsid w:val="000652F5"/>
    <w:rsid w:val="000653AA"/>
    <w:rsid w:val="00065932"/>
    <w:rsid w:val="00065A3F"/>
    <w:rsid w:val="000664F2"/>
    <w:rsid w:val="00066A63"/>
    <w:rsid w:val="00067483"/>
    <w:rsid w:val="00067D33"/>
    <w:rsid w:val="00071285"/>
    <w:rsid w:val="000727C1"/>
    <w:rsid w:val="000728E7"/>
    <w:rsid w:val="00072989"/>
    <w:rsid w:val="00072B07"/>
    <w:rsid w:val="00073A43"/>
    <w:rsid w:val="000804A5"/>
    <w:rsid w:val="00080D00"/>
    <w:rsid w:val="00082B3D"/>
    <w:rsid w:val="00082C36"/>
    <w:rsid w:val="00083ED8"/>
    <w:rsid w:val="00084145"/>
    <w:rsid w:val="00084D63"/>
    <w:rsid w:val="000854E7"/>
    <w:rsid w:val="00086037"/>
    <w:rsid w:val="00086951"/>
    <w:rsid w:val="00087C50"/>
    <w:rsid w:val="00090EA5"/>
    <w:rsid w:val="00091CBE"/>
    <w:rsid w:val="00091CE6"/>
    <w:rsid w:val="00092247"/>
    <w:rsid w:val="0009269A"/>
    <w:rsid w:val="00092AAB"/>
    <w:rsid w:val="000947C0"/>
    <w:rsid w:val="00094AE6"/>
    <w:rsid w:val="00094E57"/>
    <w:rsid w:val="00095A46"/>
    <w:rsid w:val="000964C9"/>
    <w:rsid w:val="00096636"/>
    <w:rsid w:val="00096A19"/>
    <w:rsid w:val="000975EA"/>
    <w:rsid w:val="000A23C3"/>
    <w:rsid w:val="000A3D4D"/>
    <w:rsid w:val="000A41EB"/>
    <w:rsid w:val="000A59C1"/>
    <w:rsid w:val="000A6A3C"/>
    <w:rsid w:val="000A7433"/>
    <w:rsid w:val="000A782A"/>
    <w:rsid w:val="000A7FDE"/>
    <w:rsid w:val="000B0147"/>
    <w:rsid w:val="000B056D"/>
    <w:rsid w:val="000B0C17"/>
    <w:rsid w:val="000B2E3E"/>
    <w:rsid w:val="000B5428"/>
    <w:rsid w:val="000B568C"/>
    <w:rsid w:val="000B5AE9"/>
    <w:rsid w:val="000B5DF4"/>
    <w:rsid w:val="000C00EA"/>
    <w:rsid w:val="000C0378"/>
    <w:rsid w:val="000C1F08"/>
    <w:rsid w:val="000C22D7"/>
    <w:rsid w:val="000C2620"/>
    <w:rsid w:val="000C3550"/>
    <w:rsid w:val="000C3ABA"/>
    <w:rsid w:val="000C3C6B"/>
    <w:rsid w:val="000C40F3"/>
    <w:rsid w:val="000C42A7"/>
    <w:rsid w:val="000C48FB"/>
    <w:rsid w:val="000C4EE7"/>
    <w:rsid w:val="000C5287"/>
    <w:rsid w:val="000C579E"/>
    <w:rsid w:val="000C6370"/>
    <w:rsid w:val="000C6C55"/>
    <w:rsid w:val="000C7E55"/>
    <w:rsid w:val="000D0234"/>
    <w:rsid w:val="000D166F"/>
    <w:rsid w:val="000D1923"/>
    <w:rsid w:val="000D360C"/>
    <w:rsid w:val="000D3835"/>
    <w:rsid w:val="000D3969"/>
    <w:rsid w:val="000D3C64"/>
    <w:rsid w:val="000D43F3"/>
    <w:rsid w:val="000D5229"/>
    <w:rsid w:val="000D5E20"/>
    <w:rsid w:val="000D5F68"/>
    <w:rsid w:val="000D6239"/>
    <w:rsid w:val="000E0C52"/>
    <w:rsid w:val="000E1876"/>
    <w:rsid w:val="000E1A7E"/>
    <w:rsid w:val="000E1ABA"/>
    <w:rsid w:val="000E3A06"/>
    <w:rsid w:val="000E56EF"/>
    <w:rsid w:val="000E5DFC"/>
    <w:rsid w:val="000E6104"/>
    <w:rsid w:val="000E6FD6"/>
    <w:rsid w:val="000E703B"/>
    <w:rsid w:val="000E7DD8"/>
    <w:rsid w:val="000E7E6C"/>
    <w:rsid w:val="000F1F1E"/>
    <w:rsid w:val="000F3B40"/>
    <w:rsid w:val="000F6594"/>
    <w:rsid w:val="000F7134"/>
    <w:rsid w:val="001000C4"/>
    <w:rsid w:val="00100EA7"/>
    <w:rsid w:val="0010242F"/>
    <w:rsid w:val="0010343E"/>
    <w:rsid w:val="00103ABD"/>
    <w:rsid w:val="00103C88"/>
    <w:rsid w:val="001043E9"/>
    <w:rsid w:val="0010508C"/>
    <w:rsid w:val="001061AA"/>
    <w:rsid w:val="0010653F"/>
    <w:rsid w:val="001067F2"/>
    <w:rsid w:val="001068DF"/>
    <w:rsid w:val="0010694E"/>
    <w:rsid w:val="001076A4"/>
    <w:rsid w:val="00107F90"/>
    <w:rsid w:val="00110532"/>
    <w:rsid w:val="0011072C"/>
    <w:rsid w:val="00110789"/>
    <w:rsid w:val="00110BD2"/>
    <w:rsid w:val="00110F72"/>
    <w:rsid w:val="00111597"/>
    <w:rsid w:val="00112646"/>
    <w:rsid w:val="00112CAB"/>
    <w:rsid w:val="00113271"/>
    <w:rsid w:val="001135EE"/>
    <w:rsid w:val="001160DF"/>
    <w:rsid w:val="00116D5B"/>
    <w:rsid w:val="00117025"/>
    <w:rsid w:val="00117720"/>
    <w:rsid w:val="00117C28"/>
    <w:rsid w:val="001204D0"/>
    <w:rsid w:val="00120D20"/>
    <w:rsid w:val="001213E5"/>
    <w:rsid w:val="00122323"/>
    <w:rsid w:val="00122390"/>
    <w:rsid w:val="0012271C"/>
    <w:rsid w:val="00122D66"/>
    <w:rsid w:val="00122F3E"/>
    <w:rsid w:val="001232DF"/>
    <w:rsid w:val="0012397F"/>
    <w:rsid w:val="00123C2F"/>
    <w:rsid w:val="00123EDA"/>
    <w:rsid w:val="001246EB"/>
    <w:rsid w:val="00125B03"/>
    <w:rsid w:val="00125F43"/>
    <w:rsid w:val="00126455"/>
    <w:rsid w:val="00132FD4"/>
    <w:rsid w:val="00133597"/>
    <w:rsid w:val="00133937"/>
    <w:rsid w:val="00134E82"/>
    <w:rsid w:val="00135C7F"/>
    <w:rsid w:val="00135E2B"/>
    <w:rsid w:val="001375FB"/>
    <w:rsid w:val="00137885"/>
    <w:rsid w:val="00140143"/>
    <w:rsid w:val="00140ED0"/>
    <w:rsid w:val="001413AA"/>
    <w:rsid w:val="00141686"/>
    <w:rsid w:val="00141F20"/>
    <w:rsid w:val="00142E51"/>
    <w:rsid w:val="0014313E"/>
    <w:rsid w:val="001432F8"/>
    <w:rsid w:val="001441CE"/>
    <w:rsid w:val="00144C0B"/>
    <w:rsid w:val="001455E9"/>
    <w:rsid w:val="001459D8"/>
    <w:rsid w:val="00145ADF"/>
    <w:rsid w:val="00145C4F"/>
    <w:rsid w:val="00145E14"/>
    <w:rsid w:val="00146409"/>
    <w:rsid w:val="00146EE9"/>
    <w:rsid w:val="00147044"/>
    <w:rsid w:val="0014706F"/>
    <w:rsid w:val="001477C4"/>
    <w:rsid w:val="00147B09"/>
    <w:rsid w:val="00147C80"/>
    <w:rsid w:val="00150402"/>
    <w:rsid w:val="00150DF6"/>
    <w:rsid w:val="00151993"/>
    <w:rsid w:val="00153643"/>
    <w:rsid w:val="001538E6"/>
    <w:rsid w:val="00154639"/>
    <w:rsid w:val="00155872"/>
    <w:rsid w:val="001559E8"/>
    <w:rsid w:val="001562F0"/>
    <w:rsid w:val="001565DB"/>
    <w:rsid w:val="00156E23"/>
    <w:rsid w:val="001572DC"/>
    <w:rsid w:val="00157431"/>
    <w:rsid w:val="0015781C"/>
    <w:rsid w:val="00157C42"/>
    <w:rsid w:val="00157E4E"/>
    <w:rsid w:val="00157F26"/>
    <w:rsid w:val="00160C8F"/>
    <w:rsid w:val="00160E0C"/>
    <w:rsid w:val="00161BC2"/>
    <w:rsid w:val="00161BF1"/>
    <w:rsid w:val="0016269B"/>
    <w:rsid w:val="001627A0"/>
    <w:rsid w:val="00162EAC"/>
    <w:rsid w:val="00163137"/>
    <w:rsid w:val="00164420"/>
    <w:rsid w:val="0016473E"/>
    <w:rsid w:val="00164815"/>
    <w:rsid w:val="00164C07"/>
    <w:rsid w:val="00166872"/>
    <w:rsid w:val="00166C52"/>
    <w:rsid w:val="0016785C"/>
    <w:rsid w:val="00171107"/>
    <w:rsid w:val="001711F7"/>
    <w:rsid w:val="001712FE"/>
    <w:rsid w:val="00172618"/>
    <w:rsid w:val="001726A8"/>
    <w:rsid w:val="00172DA1"/>
    <w:rsid w:val="00173DAD"/>
    <w:rsid w:val="0017493B"/>
    <w:rsid w:val="00175166"/>
    <w:rsid w:val="00175472"/>
    <w:rsid w:val="00175500"/>
    <w:rsid w:val="001755A4"/>
    <w:rsid w:val="001767FB"/>
    <w:rsid w:val="001772D3"/>
    <w:rsid w:val="0018029B"/>
    <w:rsid w:val="00180EF4"/>
    <w:rsid w:val="001815D1"/>
    <w:rsid w:val="001818C2"/>
    <w:rsid w:val="00181B40"/>
    <w:rsid w:val="00181B85"/>
    <w:rsid w:val="00182199"/>
    <w:rsid w:val="00184A4A"/>
    <w:rsid w:val="00186084"/>
    <w:rsid w:val="001863F0"/>
    <w:rsid w:val="0018654E"/>
    <w:rsid w:val="00187592"/>
    <w:rsid w:val="00190745"/>
    <w:rsid w:val="00190FC5"/>
    <w:rsid w:val="00191862"/>
    <w:rsid w:val="00191C66"/>
    <w:rsid w:val="00192473"/>
    <w:rsid w:val="001929D8"/>
    <w:rsid w:val="00192A47"/>
    <w:rsid w:val="0019372F"/>
    <w:rsid w:val="001946A7"/>
    <w:rsid w:val="001947F8"/>
    <w:rsid w:val="00194D1F"/>
    <w:rsid w:val="00195550"/>
    <w:rsid w:val="001967CC"/>
    <w:rsid w:val="001968CE"/>
    <w:rsid w:val="0019754E"/>
    <w:rsid w:val="00197770"/>
    <w:rsid w:val="001A031B"/>
    <w:rsid w:val="001A1695"/>
    <w:rsid w:val="001A1813"/>
    <w:rsid w:val="001A1CFC"/>
    <w:rsid w:val="001A1EA1"/>
    <w:rsid w:val="001A1F19"/>
    <w:rsid w:val="001A3785"/>
    <w:rsid w:val="001A4059"/>
    <w:rsid w:val="001A4471"/>
    <w:rsid w:val="001A4C45"/>
    <w:rsid w:val="001A541A"/>
    <w:rsid w:val="001A563F"/>
    <w:rsid w:val="001A6F33"/>
    <w:rsid w:val="001A79CA"/>
    <w:rsid w:val="001A7FD8"/>
    <w:rsid w:val="001B125D"/>
    <w:rsid w:val="001B12CB"/>
    <w:rsid w:val="001B1755"/>
    <w:rsid w:val="001B1F57"/>
    <w:rsid w:val="001B22D0"/>
    <w:rsid w:val="001B272A"/>
    <w:rsid w:val="001B2ADB"/>
    <w:rsid w:val="001B2D34"/>
    <w:rsid w:val="001B2D93"/>
    <w:rsid w:val="001B5374"/>
    <w:rsid w:val="001B550F"/>
    <w:rsid w:val="001B5652"/>
    <w:rsid w:val="001B64F3"/>
    <w:rsid w:val="001B6742"/>
    <w:rsid w:val="001B72EE"/>
    <w:rsid w:val="001B7EE0"/>
    <w:rsid w:val="001C022E"/>
    <w:rsid w:val="001C0603"/>
    <w:rsid w:val="001C0B36"/>
    <w:rsid w:val="001C1AE8"/>
    <w:rsid w:val="001C1D83"/>
    <w:rsid w:val="001C1DA5"/>
    <w:rsid w:val="001C2181"/>
    <w:rsid w:val="001C21FF"/>
    <w:rsid w:val="001C4C12"/>
    <w:rsid w:val="001C58DD"/>
    <w:rsid w:val="001C59E8"/>
    <w:rsid w:val="001C61A2"/>
    <w:rsid w:val="001C62E6"/>
    <w:rsid w:val="001C68B2"/>
    <w:rsid w:val="001C6E3A"/>
    <w:rsid w:val="001C6EE1"/>
    <w:rsid w:val="001D0BD5"/>
    <w:rsid w:val="001D1AB5"/>
    <w:rsid w:val="001D1D48"/>
    <w:rsid w:val="001D26A3"/>
    <w:rsid w:val="001D2AFA"/>
    <w:rsid w:val="001D34A5"/>
    <w:rsid w:val="001D501C"/>
    <w:rsid w:val="001D5CAC"/>
    <w:rsid w:val="001D5CB5"/>
    <w:rsid w:val="001D61E6"/>
    <w:rsid w:val="001D676A"/>
    <w:rsid w:val="001D68BD"/>
    <w:rsid w:val="001D7060"/>
    <w:rsid w:val="001D73D5"/>
    <w:rsid w:val="001D7F17"/>
    <w:rsid w:val="001E04A3"/>
    <w:rsid w:val="001E0E32"/>
    <w:rsid w:val="001E1439"/>
    <w:rsid w:val="001E2309"/>
    <w:rsid w:val="001E3B18"/>
    <w:rsid w:val="001E76F1"/>
    <w:rsid w:val="001F15AA"/>
    <w:rsid w:val="001F19E6"/>
    <w:rsid w:val="001F2E88"/>
    <w:rsid w:val="001F2EB8"/>
    <w:rsid w:val="001F3574"/>
    <w:rsid w:val="001F4AE6"/>
    <w:rsid w:val="001F5519"/>
    <w:rsid w:val="001F6041"/>
    <w:rsid w:val="001F6061"/>
    <w:rsid w:val="001F67BB"/>
    <w:rsid w:val="001F6BDA"/>
    <w:rsid w:val="001F75D6"/>
    <w:rsid w:val="0020036B"/>
    <w:rsid w:val="0020062A"/>
    <w:rsid w:val="00200B66"/>
    <w:rsid w:val="002018BE"/>
    <w:rsid w:val="002018D2"/>
    <w:rsid w:val="00202838"/>
    <w:rsid w:val="00202DFB"/>
    <w:rsid w:val="00202E65"/>
    <w:rsid w:val="00203964"/>
    <w:rsid w:val="00203ED7"/>
    <w:rsid w:val="00206364"/>
    <w:rsid w:val="002075A9"/>
    <w:rsid w:val="00207960"/>
    <w:rsid w:val="00207FED"/>
    <w:rsid w:val="0021093C"/>
    <w:rsid w:val="002116FF"/>
    <w:rsid w:val="00211A48"/>
    <w:rsid w:val="00213206"/>
    <w:rsid w:val="002135FD"/>
    <w:rsid w:val="0021378D"/>
    <w:rsid w:val="002149A2"/>
    <w:rsid w:val="00214ADD"/>
    <w:rsid w:val="0021516F"/>
    <w:rsid w:val="00215468"/>
    <w:rsid w:val="0021567A"/>
    <w:rsid w:val="00215EB3"/>
    <w:rsid w:val="00215ECF"/>
    <w:rsid w:val="0021673B"/>
    <w:rsid w:val="00216BB7"/>
    <w:rsid w:val="00217196"/>
    <w:rsid w:val="002174AE"/>
    <w:rsid w:val="002176D2"/>
    <w:rsid w:val="002213B5"/>
    <w:rsid w:val="0022219F"/>
    <w:rsid w:val="00224455"/>
    <w:rsid w:val="002264F9"/>
    <w:rsid w:val="002267BE"/>
    <w:rsid w:val="00230A20"/>
    <w:rsid w:val="00231FC1"/>
    <w:rsid w:val="002327E5"/>
    <w:rsid w:val="00232EE7"/>
    <w:rsid w:val="0023345A"/>
    <w:rsid w:val="00233BD5"/>
    <w:rsid w:val="002340CD"/>
    <w:rsid w:val="00234CD1"/>
    <w:rsid w:val="00235CC0"/>
    <w:rsid w:val="00236971"/>
    <w:rsid w:val="002372D9"/>
    <w:rsid w:val="00237E4E"/>
    <w:rsid w:val="00240658"/>
    <w:rsid w:val="00241042"/>
    <w:rsid w:val="002413AB"/>
    <w:rsid w:val="00241644"/>
    <w:rsid w:val="00242250"/>
    <w:rsid w:val="00242E9E"/>
    <w:rsid w:val="0024319C"/>
    <w:rsid w:val="00243686"/>
    <w:rsid w:val="00243CDC"/>
    <w:rsid w:val="002440B8"/>
    <w:rsid w:val="00244E9C"/>
    <w:rsid w:val="00244F72"/>
    <w:rsid w:val="002452E6"/>
    <w:rsid w:val="002453C5"/>
    <w:rsid w:val="00245EB5"/>
    <w:rsid w:val="00246663"/>
    <w:rsid w:val="00247418"/>
    <w:rsid w:val="002474D7"/>
    <w:rsid w:val="002503A2"/>
    <w:rsid w:val="002507AE"/>
    <w:rsid w:val="0025173D"/>
    <w:rsid w:val="0025201F"/>
    <w:rsid w:val="00252E46"/>
    <w:rsid w:val="00252EBC"/>
    <w:rsid w:val="002535E6"/>
    <w:rsid w:val="00253E80"/>
    <w:rsid w:val="002540E8"/>
    <w:rsid w:val="00254944"/>
    <w:rsid w:val="00254C4D"/>
    <w:rsid w:val="002558F3"/>
    <w:rsid w:val="0025643E"/>
    <w:rsid w:val="00260EC6"/>
    <w:rsid w:val="00261125"/>
    <w:rsid w:val="00261760"/>
    <w:rsid w:val="0026303E"/>
    <w:rsid w:val="00263695"/>
    <w:rsid w:val="00263A94"/>
    <w:rsid w:val="00263CBE"/>
    <w:rsid w:val="0026581E"/>
    <w:rsid w:val="00266AB8"/>
    <w:rsid w:val="00266E99"/>
    <w:rsid w:val="00266FAE"/>
    <w:rsid w:val="002676EF"/>
    <w:rsid w:val="002701D8"/>
    <w:rsid w:val="00270D62"/>
    <w:rsid w:val="00271184"/>
    <w:rsid w:val="002715B3"/>
    <w:rsid w:val="002722B3"/>
    <w:rsid w:val="00272E91"/>
    <w:rsid w:val="00273881"/>
    <w:rsid w:val="00273F3B"/>
    <w:rsid w:val="002741B2"/>
    <w:rsid w:val="00274586"/>
    <w:rsid w:val="0027461D"/>
    <w:rsid w:val="00275E4E"/>
    <w:rsid w:val="002762E6"/>
    <w:rsid w:val="00276F50"/>
    <w:rsid w:val="002772DE"/>
    <w:rsid w:val="00280A0D"/>
    <w:rsid w:val="00281F2C"/>
    <w:rsid w:val="00282642"/>
    <w:rsid w:val="0028380D"/>
    <w:rsid w:val="0028396B"/>
    <w:rsid w:val="002842EB"/>
    <w:rsid w:val="00284C0F"/>
    <w:rsid w:val="00284E04"/>
    <w:rsid w:val="0028548B"/>
    <w:rsid w:val="00285C2C"/>
    <w:rsid w:val="00286031"/>
    <w:rsid w:val="00290D14"/>
    <w:rsid w:val="0029137D"/>
    <w:rsid w:val="00291448"/>
    <w:rsid w:val="00291491"/>
    <w:rsid w:val="00292CBA"/>
    <w:rsid w:val="0029355B"/>
    <w:rsid w:val="00293E99"/>
    <w:rsid w:val="0029404F"/>
    <w:rsid w:val="002940D4"/>
    <w:rsid w:val="002945DD"/>
    <w:rsid w:val="002948C3"/>
    <w:rsid w:val="00294D54"/>
    <w:rsid w:val="00295149"/>
    <w:rsid w:val="00295E7F"/>
    <w:rsid w:val="0029605B"/>
    <w:rsid w:val="00296132"/>
    <w:rsid w:val="002973E9"/>
    <w:rsid w:val="002A0196"/>
    <w:rsid w:val="002A02EF"/>
    <w:rsid w:val="002A094E"/>
    <w:rsid w:val="002A1241"/>
    <w:rsid w:val="002A149E"/>
    <w:rsid w:val="002A1CBF"/>
    <w:rsid w:val="002A1E5E"/>
    <w:rsid w:val="002A3BBF"/>
    <w:rsid w:val="002A406C"/>
    <w:rsid w:val="002A4F1F"/>
    <w:rsid w:val="002A54D5"/>
    <w:rsid w:val="002A54E1"/>
    <w:rsid w:val="002A5D59"/>
    <w:rsid w:val="002A678E"/>
    <w:rsid w:val="002A6CB7"/>
    <w:rsid w:val="002A729A"/>
    <w:rsid w:val="002A77D8"/>
    <w:rsid w:val="002B2D49"/>
    <w:rsid w:val="002B4745"/>
    <w:rsid w:val="002B5111"/>
    <w:rsid w:val="002B60F7"/>
    <w:rsid w:val="002B651C"/>
    <w:rsid w:val="002B7519"/>
    <w:rsid w:val="002B7A3D"/>
    <w:rsid w:val="002C044E"/>
    <w:rsid w:val="002C1052"/>
    <w:rsid w:val="002C1994"/>
    <w:rsid w:val="002C3053"/>
    <w:rsid w:val="002C37F0"/>
    <w:rsid w:val="002C3AB7"/>
    <w:rsid w:val="002C3DC3"/>
    <w:rsid w:val="002C50EE"/>
    <w:rsid w:val="002C5F24"/>
    <w:rsid w:val="002C630F"/>
    <w:rsid w:val="002C70D1"/>
    <w:rsid w:val="002C74A8"/>
    <w:rsid w:val="002C78CC"/>
    <w:rsid w:val="002C7A1D"/>
    <w:rsid w:val="002C7D93"/>
    <w:rsid w:val="002D07D6"/>
    <w:rsid w:val="002D0B54"/>
    <w:rsid w:val="002D2EAE"/>
    <w:rsid w:val="002D3032"/>
    <w:rsid w:val="002D38B2"/>
    <w:rsid w:val="002D3AFC"/>
    <w:rsid w:val="002D3CA3"/>
    <w:rsid w:val="002D3F32"/>
    <w:rsid w:val="002D6115"/>
    <w:rsid w:val="002D7090"/>
    <w:rsid w:val="002D7661"/>
    <w:rsid w:val="002E0F49"/>
    <w:rsid w:val="002E1BAF"/>
    <w:rsid w:val="002E1EEB"/>
    <w:rsid w:val="002E2019"/>
    <w:rsid w:val="002E29AA"/>
    <w:rsid w:val="002E2C71"/>
    <w:rsid w:val="002E3CDB"/>
    <w:rsid w:val="002E3DDB"/>
    <w:rsid w:val="002E5E01"/>
    <w:rsid w:val="002E6292"/>
    <w:rsid w:val="002E632E"/>
    <w:rsid w:val="002E6DF5"/>
    <w:rsid w:val="002E79B8"/>
    <w:rsid w:val="002F0151"/>
    <w:rsid w:val="002F0B30"/>
    <w:rsid w:val="002F1AFE"/>
    <w:rsid w:val="002F1B54"/>
    <w:rsid w:val="002F257F"/>
    <w:rsid w:val="002F274D"/>
    <w:rsid w:val="002F3851"/>
    <w:rsid w:val="002F3F2F"/>
    <w:rsid w:val="002F4309"/>
    <w:rsid w:val="002F4A51"/>
    <w:rsid w:val="002F6370"/>
    <w:rsid w:val="002F7187"/>
    <w:rsid w:val="002F7664"/>
    <w:rsid w:val="003004F7"/>
    <w:rsid w:val="003010BE"/>
    <w:rsid w:val="0030167B"/>
    <w:rsid w:val="003019E5"/>
    <w:rsid w:val="003033AC"/>
    <w:rsid w:val="003039CE"/>
    <w:rsid w:val="00303C39"/>
    <w:rsid w:val="003042B5"/>
    <w:rsid w:val="003063B0"/>
    <w:rsid w:val="003066C6"/>
    <w:rsid w:val="00307FFD"/>
    <w:rsid w:val="003101EC"/>
    <w:rsid w:val="00310485"/>
    <w:rsid w:val="003109E6"/>
    <w:rsid w:val="00311001"/>
    <w:rsid w:val="00311E4B"/>
    <w:rsid w:val="00312AE7"/>
    <w:rsid w:val="00313062"/>
    <w:rsid w:val="00313475"/>
    <w:rsid w:val="003135F5"/>
    <w:rsid w:val="00313AA8"/>
    <w:rsid w:val="00313EA2"/>
    <w:rsid w:val="00314974"/>
    <w:rsid w:val="00314E58"/>
    <w:rsid w:val="00315331"/>
    <w:rsid w:val="0031611D"/>
    <w:rsid w:val="00316C89"/>
    <w:rsid w:val="003212CF"/>
    <w:rsid w:val="0032152C"/>
    <w:rsid w:val="00321A95"/>
    <w:rsid w:val="003220B9"/>
    <w:rsid w:val="0032307A"/>
    <w:rsid w:val="003265EA"/>
    <w:rsid w:val="00326947"/>
    <w:rsid w:val="003269A9"/>
    <w:rsid w:val="00326B0D"/>
    <w:rsid w:val="0032746E"/>
    <w:rsid w:val="00327591"/>
    <w:rsid w:val="00327873"/>
    <w:rsid w:val="0033022D"/>
    <w:rsid w:val="00330287"/>
    <w:rsid w:val="00330703"/>
    <w:rsid w:val="003310DF"/>
    <w:rsid w:val="00331D6C"/>
    <w:rsid w:val="00332950"/>
    <w:rsid w:val="00332F6F"/>
    <w:rsid w:val="003336A9"/>
    <w:rsid w:val="003339F9"/>
    <w:rsid w:val="003340F0"/>
    <w:rsid w:val="003352A2"/>
    <w:rsid w:val="003368CB"/>
    <w:rsid w:val="00336DCD"/>
    <w:rsid w:val="00337EEA"/>
    <w:rsid w:val="00340702"/>
    <w:rsid w:val="00341727"/>
    <w:rsid w:val="0034239C"/>
    <w:rsid w:val="00343A0B"/>
    <w:rsid w:val="00344275"/>
    <w:rsid w:val="003442FD"/>
    <w:rsid w:val="00344954"/>
    <w:rsid w:val="00346740"/>
    <w:rsid w:val="003467FF"/>
    <w:rsid w:val="003469BA"/>
    <w:rsid w:val="00346D35"/>
    <w:rsid w:val="00346D3D"/>
    <w:rsid w:val="00346E25"/>
    <w:rsid w:val="003500FC"/>
    <w:rsid w:val="0035114E"/>
    <w:rsid w:val="00352459"/>
    <w:rsid w:val="003525E4"/>
    <w:rsid w:val="00352727"/>
    <w:rsid w:val="0035343C"/>
    <w:rsid w:val="00353FB9"/>
    <w:rsid w:val="00355969"/>
    <w:rsid w:val="003561EA"/>
    <w:rsid w:val="0035626F"/>
    <w:rsid w:val="0036016C"/>
    <w:rsid w:val="00360278"/>
    <w:rsid w:val="003613D9"/>
    <w:rsid w:val="003616D1"/>
    <w:rsid w:val="00361C86"/>
    <w:rsid w:val="00361CDE"/>
    <w:rsid w:val="003621F9"/>
    <w:rsid w:val="00362799"/>
    <w:rsid w:val="00362BA5"/>
    <w:rsid w:val="00363652"/>
    <w:rsid w:val="003639C9"/>
    <w:rsid w:val="00363A3D"/>
    <w:rsid w:val="00363FF5"/>
    <w:rsid w:val="00365267"/>
    <w:rsid w:val="00365EC5"/>
    <w:rsid w:val="00365ED9"/>
    <w:rsid w:val="00366F91"/>
    <w:rsid w:val="003670AD"/>
    <w:rsid w:val="0036728A"/>
    <w:rsid w:val="0036757B"/>
    <w:rsid w:val="00370A2C"/>
    <w:rsid w:val="00371C59"/>
    <w:rsid w:val="00372222"/>
    <w:rsid w:val="00372726"/>
    <w:rsid w:val="0037321D"/>
    <w:rsid w:val="00374CFE"/>
    <w:rsid w:val="0037513D"/>
    <w:rsid w:val="003753D9"/>
    <w:rsid w:val="003759BD"/>
    <w:rsid w:val="003762E2"/>
    <w:rsid w:val="00376F45"/>
    <w:rsid w:val="0037796D"/>
    <w:rsid w:val="00377C7B"/>
    <w:rsid w:val="00377E31"/>
    <w:rsid w:val="0038029E"/>
    <w:rsid w:val="003807AE"/>
    <w:rsid w:val="00380B82"/>
    <w:rsid w:val="0038102B"/>
    <w:rsid w:val="003813F7"/>
    <w:rsid w:val="003814DE"/>
    <w:rsid w:val="00381547"/>
    <w:rsid w:val="0038193E"/>
    <w:rsid w:val="00381A5D"/>
    <w:rsid w:val="00381CF2"/>
    <w:rsid w:val="003820C5"/>
    <w:rsid w:val="003824A6"/>
    <w:rsid w:val="003825D9"/>
    <w:rsid w:val="00382A46"/>
    <w:rsid w:val="00382F7A"/>
    <w:rsid w:val="0038316C"/>
    <w:rsid w:val="00383913"/>
    <w:rsid w:val="00383D8B"/>
    <w:rsid w:val="00383E7E"/>
    <w:rsid w:val="00383F21"/>
    <w:rsid w:val="00383F32"/>
    <w:rsid w:val="00383F84"/>
    <w:rsid w:val="00384092"/>
    <w:rsid w:val="00384A81"/>
    <w:rsid w:val="00384B3B"/>
    <w:rsid w:val="00386508"/>
    <w:rsid w:val="00387453"/>
    <w:rsid w:val="00387887"/>
    <w:rsid w:val="00387B95"/>
    <w:rsid w:val="0039007B"/>
    <w:rsid w:val="00390971"/>
    <w:rsid w:val="0039124B"/>
    <w:rsid w:val="00392092"/>
    <w:rsid w:val="003925DD"/>
    <w:rsid w:val="003926EE"/>
    <w:rsid w:val="00394D87"/>
    <w:rsid w:val="00395566"/>
    <w:rsid w:val="003957BA"/>
    <w:rsid w:val="003966BC"/>
    <w:rsid w:val="00396712"/>
    <w:rsid w:val="00396FE4"/>
    <w:rsid w:val="00397E4B"/>
    <w:rsid w:val="003A0744"/>
    <w:rsid w:val="003A0F51"/>
    <w:rsid w:val="003A1CAC"/>
    <w:rsid w:val="003A24BD"/>
    <w:rsid w:val="003A29DC"/>
    <w:rsid w:val="003A38B3"/>
    <w:rsid w:val="003A4D72"/>
    <w:rsid w:val="003A5EAE"/>
    <w:rsid w:val="003A5FC4"/>
    <w:rsid w:val="003A60B1"/>
    <w:rsid w:val="003A6AEE"/>
    <w:rsid w:val="003A7A98"/>
    <w:rsid w:val="003B0C4F"/>
    <w:rsid w:val="003B0E3A"/>
    <w:rsid w:val="003B2AD4"/>
    <w:rsid w:val="003B2C13"/>
    <w:rsid w:val="003B3E29"/>
    <w:rsid w:val="003B3EFF"/>
    <w:rsid w:val="003B4312"/>
    <w:rsid w:val="003B4712"/>
    <w:rsid w:val="003B4C1D"/>
    <w:rsid w:val="003B5662"/>
    <w:rsid w:val="003B58FB"/>
    <w:rsid w:val="003B5AB4"/>
    <w:rsid w:val="003B5BFC"/>
    <w:rsid w:val="003B6207"/>
    <w:rsid w:val="003B6D26"/>
    <w:rsid w:val="003B7407"/>
    <w:rsid w:val="003B7517"/>
    <w:rsid w:val="003B7D6C"/>
    <w:rsid w:val="003B7FFA"/>
    <w:rsid w:val="003C07DE"/>
    <w:rsid w:val="003C0DCE"/>
    <w:rsid w:val="003C2230"/>
    <w:rsid w:val="003C2368"/>
    <w:rsid w:val="003C2D5D"/>
    <w:rsid w:val="003C4900"/>
    <w:rsid w:val="003C49E7"/>
    <w:rsid w:val="003C4CAF"/>
    <w:rsid w:val="003C4FD3"/>
    <w:rsid w:val="003C50B2"/>
    <w:rsid w:val="003C538F"/>
    <w:rsid w:val="003C61E9"/>
    <w:rsid w:val="003C67AB"/>
    <w:rsid w:val="003C715D"/>
    <w:rsid w:val="003C7BAE"/>
    <w:rsid w:val="003D0608"/>
    <w:rsid w:val="003D0DB5"/>
    <w:rsid w:val="003D10E2"/>
    <w:rsid w:val="003D25E1"/>
    <w:rsid w:val="003D336C"/>
    <w:rsid w:val="003D34BA"/>
    <w:rsid w:val="003D4204"/>
    <w:rsid w:val="003D50E5"/>
    <w:rsid w:val="003D54A2"/>
    <w:rsid w:val="003D5851"/>
    <w:rsid w:val="003D6248"/>
    <w:rsid w:val="003D691B"/>
    <w:rsid w:val="003D6E8A"/>
    <w:rsid w:val="003D71E8"/>
    <w:rsid w:val="003D724C"/>
    <w:rsid w:val="003D7727"/>
    <w:rsid w:val="003E1757"/>
    <w:rsid w:val="003E273E"/>
    <w:rsid w:val="003E3F2B"/>
    <w:rsid w:val="003E4A38"/>
    <w:rsid w:val="003E53E6"/>
    <w:rsid w:val="003E5E7C"/>
    <w:rsid w:val="003E610F"/>
    <w:rsid w:val="003E64BA"/>
    <w:rsid w:val="003E76F4"/>
    <w:rsid w:val="003F008F"/>
    <w:rsid w:val="003F1380"/>
    <w:rsid w:val="003F142B"/>
    <w:rsid w:val="003F1655"/>
    <w:rsid w:val="003F266D"/>
    <w:rsid w:val="003F2EA6"/>
    <w:rsid w:val="003F320E"/>
    <w:rsid w:val="003F3477"/>
    <w:rsid w:val="003F512C"/>
    <w:rsid w:val="003F5C0E"/>
    <w:rsid w:val="003F5D13"/>
    <w:rsid w:val="003F5EC4"/>
    <w:rsid w:val="003F6290"/>
    <w:rsid w:val="003F6337"/>
    <w:rsid w:val="003F63F7"/>
    <w:rsid w:val="003F66B8"/>
    <w:rsid w:val="003F674E"/>
    <w:rsid w:val="003F6A5C"/>
    <w:rsid w:val="003F6C06"/>
    <w:rsid w:val="003F7B8E"/>
    <w:rsid w:val="00403761"/>
    <w:rsid w:val="00403B65"/>
    <w:rsid w:val="00403CB8"/>
    <w:rsid w:val="004044D0"/>
    <w:rsid w:val="00405EBF"/>
    <w:rsid w:val="0040668B"/>
    <w:rsid w:val="00407BF6"/>
    <w:rsid w:val="00407FBE"/>
    <w:rsid w:val="00410B16"/>
    <w:rsid w:val="00410D56"/>
    <w:rsid w:val="00411EC8"/>
    <w:rsid w:val="00411F2B"/>
    <w:rsid w:val="00413661"/>
    <w:rsid w:val="004137D1"/>
    <w:rsid w:val="00413F70"/>
    <w:rsid w:val="00414749"/>
    <w:rsid w:val="00416A6F"/>
    <w:rsid w:val="00420146"/>
    <w:rsid w:val="00420712"/>
    <w:rsid w:val="00421073"/>
    <w:rsid w:val="004217A6"/>
    <w:rsid w:val="004221AD"/>
    <w:rsid w:val="004230B6"/>
    <w:rsid w:val="004238DF"/>
    <w:rsid w:val="00423D49"/>
    <w:rsid w:val="00424F73"/>
    <w:rsid w:val="0042501A"/>
    <w:rsid w:val="004255C4"/>
    <w:rsid w:val="004276B8"/>
    <w:rsid w:val="00427A31"/>
    <w:rsid w:val="00427A5E"/>
    <w:rsid w:val="00430112"/>
    <w:rsid w:val="0043045F"/>
    <w:rsid w:val="0043172B"/>
    <w:rsid w:val="00433D4B"/>
    <w:rsid w:val="00433EE0"/>
    <w:rsid w:val="00434F59"/>
    <w:rsid w:val="0043571E"/>
    <w:rsid w:val="00435734"/>
    <w:rsid w:val="00436827"/>
    <w:rsid w:val="00436E8F"/>
    <w:rsid w:val="004373F5"/>
    <w:rsid w:val="00437951"/>
    <w:rsid w:val="00441D5E"/>
    <w:rsid w:val="004422C7"/>
    <w:rsid w:val="004422D7"/>
    <w:rsid w:val="00443E78"/>
    <w:rsid w:val="00443F5F"/>
    <w:rsid w:val="004441A6"/>
    <w:rsid w:val="004449CF"/>
    <w:rsid w:val="004454CB"/>
    <w:rsid w:val="00446817"/>
    <w:rsid w:val="00447435"/>
    <w:rsid w:val="0045013F"/>
    <w:rsid w:val="004507B7"/>
    <w:rsid w:val="00450D42"/>
    <w:rsid w:val="0045263D"/>
    <w:rsid w:val="00453127"/>
    <w:rsid w:val="00453B28"/>
    <w:rsid w:val="00453F12"/>
    <w:rsid w:val="00454CCF"/>
    <w:rsid w:val="00454F9E"/>
    <w:rsid w:val="00460485"/>
    <w:rsid w:val="004609BD"/>
    <w:rsid w:val="004613A9"/>
    <w:rsid w:val="00461759"/>
    <w:rsid w:val="00461EE4"/>
    <w:rsid w:val="004631D1"/>
    <w:rsid w:val="004633FD"/>
    <w:rsid w:val="004634E6"/>
    <w:rsid w:val="004635A8"/>
    <w:rsid w:val="00463BE4"/>
    <w:rsid w:val="00463EB9"/>
    <w:rsid w:val="0046403F"/>
    <w:rsid w:val="0046428A"/>
    <w:rsid w:val="00465264"/>
    <w:rsid w:val="00466230"/>
    <w:rsid w:val="00466274"/>
    <w:rsid w:val="004662C3"/>
    <w:rsid w:val="00466A55"/>
    <w:rsid w:val="00466CD9"/>
    <w:rsid w:val="004670DD"/>
    <w:rsid w:val="0047009E"/>
    <w:rsid w:val="00470F73"/>
    <w:rsid w:val="00471C96"/>
    <w:rsid w:val="0047256C"/>
    <w:rsid w:val="00472FBE"/>
    <w:rsid w:val="00473046"/>
    <w:rsid w:val="004736AA"/>
    <w:rsid w:val="00473994"/>
    <w:rsid w:val="00473A80"/>
    <w:rsid w:val="00473C5D"/>
    <w:rsid w:val="00473CD3"/>
    <w:rsid w:val="00473E07"/>
    <w:rsid w:val="004743EB"/>
    <w:rsid w:val="0047443F"/>
    <w:rsid w:val="00475AC8"/>
    <w:rsid w:val="00475ADF"/>
    <w:rsid w:val="00475EF1"/>
    <w:rsid w:val="0047664F"/>
    <w:rsid w:val="004769C6"/>
    <w:rsid w:val="00476C9C"/>
    <w:rsid w:val="00477592"/>
    <w:rsid w:val="00477669"/>
    <w:rsid w:val="00480147"/>
    <w:rsid w:val="00480BC1"/>
    <w:rsid w:val="00481B1D"/>
    <w:rsid w:val="0048204F"/>
    <w:rsid w:val="0048209E"/>
    <w:rsid w:val="00482389"/>
    <w:rsid w:val="004824AA"/>
    <w:rsid w:val="00483340"/>
    <w:rsid w:val="004839D0"/>
    <w:rsid w:val="004849F2"/>
    <w:rsid w:val="00484D46"/>
    <w:rsid w:val="004852A1"/>
    <w:rsid w:val="00485BC8"/>
    <w:rsid w:val="00486595"/>
    <w:rsid w:val="00486949"/>
    <w:rsid w:val="00490632"/>
    <w:rsid w:val="004906E9"/>
    <w:rsid w:val="00490718"/>
    <w:rsid w:val="0049109C"/>
    <w:rsid w:val="00491381"/>
    <w:rsid w:val="0049171E"/>
    <w:rsid w:val="00493CF0"/>
    <w:rsid w:val="0049450B"/>
    <w:rsid w:val="004945A5"/>
    <w:rsid w:val="00494A98"/>
    <w:rsid w:val="00494FE4"/>
    <w:rsid w:val="00495A80"/>
    <w:rsid w:val="004961A7"/>
    <w:rsid w:val="0049627A"/>
    <w:rsid w:val="00496BF4"/>
    <w:rsid w:val="004971A6"/>
    <w:rsid w:val="004973C8"/>
    <w:rsid w:val="0049793F"/>
    <w:rsid w:val="004A02BE"/>
    <w:rsid w:val="004A0FFA"/>
    <w:rsid w:val="004A1787"/>
    <w:rsid w:val="004A2067"/>
    <w:rsid w:val="004A2116"/>
    <w:rsid w:val="004A2501"/>
    <w:rsid w:val="004A2A33"/>
    <w:rsid w:val="004A341B"/>
    <w:rsid w:val="004A3462"/>
    <w:rsid w:val="004A36FD"/>
    <w:rsid w:val="004A3795"/>
    <w:rsid w:val="004A3807"/>
    <w:rsid w:val="004A5B6C"/>
    <w:rsid w:val="004A5C70"/>
    <w:rsid w:val="004A685C"/>
    <w:rsid w:val="004A698B"/>
    <w:rsid w:val="004A73C3"/>
    <w:rsid w:val="004A754F"/>
    <w:rsid w:val="004A7AD6"/>
    <w:rsid w:val="004B031F"/>
    <w:rsid w:val="004B0963"/>
    <w:rsid w:val="004B0A70"/>
    <w:rsid w:val="004B0C32"/>
    <w:rsid w:val="004B23D0"/>
    <w:rsid w:val="004B24E6"/>
    <w:rsid w:val="004B289F"/>
    <w:rsid w:val="004B2D7B"/>
    <w:rsid w:val="004B4BB0"/>
    <w:rsid w:val="004B4FFA"/>
    <w:rsid w:val="004B5B9D"/>
    <w:rsid w:val="004B6E8B"/>
    <w:rsid w:val="004C00D9"/>
    <w:rsid w:val="004C04B4"/>
    <w:rsid w:val="004C0EB5"/>
    <w:rsid w:val="004C1023"/>
    <w:rsid w:val="004C32FF"/>
    <w:rsid w:val="004C38FB"/>
    <w:rsid w:val="004C408F"/>
    <w:rsid w:val="004C4436"/>
    <w:rsid w:val="004C4DA7"/>
    <w:rsid w:val="004C5177"/>
    <w:rsid w:val="004C5318"/>
    <w:rsid w:val="004C636B"/>
    <w:rsid w:val="004C6CDD"/>
    <w:rsid w:val="004C745A"/>
    <w:rsid w:val="004C798E"/>
    <w:rsid w:val="004C79D5"/>
    <w:rsid w:val="004C7E98"/>
    <w:rsid w:val="004D0517"/>
    <w:rsid w:val="004D0652"/>
    <w:rsid w:val="004D08FB"/>
    <w:rsid w:val="004D1435"/>
    <w:rsid w:val="004D2AEA"/>
    <w:rsid w:val="004D2E64"/>
    <w:rsid w:val="004D3204"/>
    <w:rsid w:val="004D4DD4"/>
    <w:rsid w:val="004D6718"/>
    <w:rsid w:val="004D7ED0"/>
    <w:rsid w:val="004E06DE"/>
    <w:rsid w:val="004E15CA"/>
    <w:rsid w:val="004E2232"/>
    <w:rsid w:val="004E2928"/>
    <w:rsid w:val="004E36B7"/>
    <w:rsid w:val="004E36D4"/>
    <w:rsid w:val="004E673D"/>
    <w:rsid w:val="004E7FC7"/>
    <w:rsid w:val="004F074C"/>
    <w:rsid w:val="004F07D8"/>
    <w:rsid w:val="004F0817"/>
    <w:rsid w:val="004F0A8A"/>
    <w:rsid w:val="004F255F"/>
    <w:rsid w:val="004F27C4"/>
    <w:rsid w:val="004F292A"/>
    <w:rsid w:val="004F30D5"/>
    <w:rsid w:val="004F31E0"/>
    <w:rsid w:val="004F3524"/>
    <w:rsid w:val="004F3B6B"/>
    <w:rsid w:val="004F43BC"/>
    <w:rsid w:val="004F4EB6"/>
    <w:rsid w:val="004F4FFD"/>
    <w:rsid w:val="004F5B9E"/>
    <w:rsid w:val="004F62E3"/>
    <w:rsid w:val="004F7CB0"/>
    <w:rsid w:val="00500516"/>
    <w:rsid w:val="005015B3"/>
    <w:rsid w:val="00501DBE"/>
    <w:rsid w:val="0050254B"/>
    <w:rsid w:val="00502AA5"/>
    <w:rsid w:val="005035CA"/>
    <w:rsid w:val="00503918"/>
    <w:rsid w:val="00503D16"/>
    <w:rsid w:val="0050438A"/>
    <w:rsid w:val="005056DB"/>
    <w:rsid w:val="00505811"/>
    <w:rsid w:val="00507594"/>
    <w:rsid w:val="00507AFC"/>
    <w:rsid w:val="00507E59"/>
    <w:rsid w:val="005101D4"/>
    <w:rsid w:val="0051184D"/>
    <w:rsid w:val="005120D8"/>
    <w:rsid w:val="00512777"/>
    <w:rsid w:val="005129C1"/>
    <w:rsid w:val="00513E7B"/>
    <w:rsid w:val="005140E4"/>
    <w:rsid w:val="00514302"/>
    <w:rsid w:val="00514D9E"/>
    <w:rsid w:val="0051514A"/>
    <w:rsid w:val="00515557"/>
    <w:rsid w:val="00515F38"/>
    <w:rsid w:val="0051632E"/>
    <w:rsid w:val="00517044"/>
    <w:rsid w:val="00520D84"/>
    <w:rsid w:val="00520E34"/>
    <w:rsid w:val="00521A97"/>
    <w:rsid w:val="005222F6"/>
    <w:rsid w:val="00522693"/>
    <w:rsid w:val="00522F4C"/>
    <w:rsid w:val="00523288"/>
    <w:rsid w:val="00524A7B"/>
    <w:rsid w:val="005258C5"/>
    <w:rsid w:val="005261B8"/>
    <w:rsid w:val="00526647"/>
    <w:rsid w:val="005267EC"/>
    <w:rsid w:val="00526DA9"/>
    <w:rsid w:val="00526F35"/>
    <w:rsid w:val="00526F72"/>
    <w:rsid w:val="00527137"/>
    <w:rsid w:val="005278B4"/>
    <w:rsid w:val="00527A18"/>
    <w:rsid w:val="005301DA"/>
    <w:rsid w:val="00530B11"/>
    <w:rsid w:val="00531A43"/>
    <w:rsid w:val="00531CD3"/>
    <w:rsid w:val="005337A6"/>
    <w:rsid w:val="00533E42"/>
    <w:rsid w:val="00533FA0"/>
    <w:rsid w:val="0053449D"/>
    <w:rsid w:val="005365AC"/>
    <w:rsid w:val="00536680"/>
    <w:rsid w:val="0053673B"/>
    <w:rsid w:val="00536D09"/>
    <w:rsid w:val="005374BC"/>
    <w:rsid w:val="005402A5"/>
    <w:rsid w:val="005404BC"/>
    <w:rsid w:val="00540A35"/>
    <w:rsid w:val="00541275"/>
    <w:rsid w:val="00542676"/>
    <w:rsid w:val="00543426"/>
    <w:rsid w:val="00544FE9"/>
    <w:rsid w:val="005457C3"/>
    <w:rsid w:val="0054622C"/>
    <w:rsid w:val="00546B43"/>
    <w:rsid w:val="00547B91"/>
    <w:rsid w:val="00550168"/>
    <w:rsid w:val="0055037B"/>
    <w:rsid w:val="00551DB0"/>
    <w:rsid w:val="00552163"/>
    <w:rsid w:val="0055231D"/>
    <w:rsid w:val="005524A4"/>
    <w:rsid w:val="00552688"/>
    <w:rsid w:val="005532C9"/>
    <w:rsid w:val="005533CD"/>
    <w:rsid w:val="0055417E"/>
    <w:rsid w:val="00554E57"/>
    <w:rsid w:val="00555559"/>
    <w:rsid w:val="00555982"/>
    <w:rsid w:val="00556193"/>
    <w:rsid w:val="00556948"/>
    <w:rsid w:val="00560FF2"/>
    <w:rsid w:val="00561999"/>
    <w:rsid w:val="00562D42"/>
    <w:rsid w:val="0056386F"/>
    <w:rsid w:val="00563E94"/>
    <w:rsid w:val="005647F2"/>
    <w:rsid w:val="00564F7B"/>
    <w:rsid w:val="005659C2"/>
    <w:rsid w:val="00565D08"/>
    <w:rsid w:val="00565DA4"/>
    <w:rsid w:val="005661CA"/>
    <w:rsid w:val="00567E7B"/>
    <w:rsid w:val="00567F36"/>
    <w:rsid w:val="0057022B"/>
    <w:rsid w:val="00570BA0"/>
    <w:rsid w:val="00570EE7"/>
    <w:rsid w:val="00571630"/>
    <w:rsid w:val="0057176E"/>
    <w:rsid w:val="00571B1C"/>
    <w:rsid w:val="00571F8C"/>
    <w:rsid w:val="00572D62"/>
    <w:rsid w:val="00575ADC"/>
    <w:rsid w:val="0057621D"/>
    <w:rsid w:val="00576772"/>
    <w:rsid w:val="00576B3E"/>
    <w:rsid w:val="00576E98"/>
    <w:rsid w:val="00577310"/>
    <w:rsid w:val="00577AF4"/>
    <w:rsid w:val="005803C6"/>
    <w:rsid w:val="00580C26"/>
    <w:rsid w:val="00581670"/>
    <w:rsid w:val="005817D8"/>
    <w:rsid w:val="00582037"/>
    <w:rsid w:val="005826E8"/>
    <w:rsid w:val="00582975"/>
    <w:rsid w:val="00582A80"/>
    <w:rsid w:val="00582BCD"/>
    <w:rsid w:val="00584117"/>
    <w:rsid w:val="0058678A"/>
    <w:rsid w:val="005875DB"/>
    <w:rsid w:val="00587A65"/>
    <w:rsid w:val="00587CDA"/>
    <w:rsid w:val="005901AC"/>
    <w:rsid w:val="005902D5"/>
    <w:rsid w:val="00590F90"/>
    <w:rsid w:val="005912A8"/>
    <w:rsid w:val="005917B1"/>
    <w:rsid w:val="00591B91"/>
    <w:rsid w:val="00591DDD"/>
    <w:rsid w:val="00591EEB"/>
    <w:rsid w:val="00592167"/>
    <w:rsid w:val="00592274"/>
    <w:rsid w:val="00592D3C"/>
    <w:rsid w:val="00592DD7"/>
    <w:rsid w:val="00594BCB"/>
    <w:rsid w:val="00595878"/>
    <w:rsid w:val="00595A55"/>
    <w:rsid w:val="00596979"/>
    <w:rsid w:val="00596C4C"/>
    <w:rsid w:val="00597704"/>
    <w:rsid w:val="005A00A8"/>
    <w:rsid w:val="005A0F09"/>
    <w:rsid w:val="005A1A3F"/>
    <w:rsid w:val="005A1E0E"/>
    <w:rsid w:val="005A1F64"/>
    <w:rsid w:val="005A2155"/>
    <w:rsid w:val="005A3481"/>
    <w:rsid w:val="005A38B6"/>
    <w:rsid w:val="005A3992"/>
    <w:rsid w:val="005A414F"/>
    <w:rsid w:val="005A4926"/>
    <w:rsid w:val="005A4D4B"/>
    <w:rsid w:val="005A5987"/>
    <w:rsid w:val="005A5E9B"/>
    <w:rsid w:val="005A6ED5"/>
    <w:rsid w:val="005A70DA"/>
    <w:rsid w:val="005B1C54"/>
    <w:rsid w:val="005B1E4E"/>
    <w:rsid w:val="005B29CA"/>
    <w:rsid w:val="005B3061"/>
    <w:rsid w:val="005B432F"/>
    <w:rsid w:val="005B496D"/>
    <w:rsid w:val="005B4DD3"/>
    <w:rsid w:val="005B5921"/>
    <w:rsid w:val="005B70EF"/>
    <w:rsid w:val="005B7C2B"/>
    <w:rsid w:val="005C04FF"/>
    <w:rsid w:val="005C105E"/>
    <w:rsid w:val="005C1ACC"/>
    <w:rsid w:val="005C3262"/>
    <w:rsid w:val="005C38DC"/>
    <w:rsid w:val="005C4292"/>
    <w:rsid w:val="005C436F"/>
    <w:rsid w:val="005C4B76"/>
    <w:rsid w:val="005C4DBC"/>
    <w:rsid w:val="005C5FB0"/>
    <w:rsid w:val="005C6332"/>
    <w:rsid w:val="005C6396"/>
    <w:rsid w:val="005C6BB4"/>
    <w:rsid w:val="005C7176"/>
    <w:rsid w:val="005C7F3D"/>
    <w:rsid w:val="005D04A6"/>
    <w:rsid w:val="005D1934"/>
    <w:rsid w:val="005D1B11"/>
    <w:rsid w:val="005D1DC0"/>
    <w:rsid w:val="005D208B"/>
    <w:rsid w:val="005D265D"/>
    <w:rsid w:val="005D39C8"/>
    <w:rsid w:val="005D43BD"/>
    <w:rsid w:val="005D49F1"/>
    <w:rsid w:val="005D5648"/>
    <w:rsid w:val="005D781E"/>
    <w:rsid w:val="005E27E6"/>
    <w:rsid w:val="005E3059"/>
    <w:rsid w:val="005E3332"/>
    <w:rsid w:val="005E3570"/>
    <w:rsid w:val="005E3C9E"/>
    <w:rsid w:val="005E3DAD"/>
    <w:rsid w:val="005E41D1"/>
    <w:rsid w:val="005E526F"/>
    <w:rsid w:val="005E5F39"/>
    <w:rsid w:val="005E6D1A"/>
    <w:rsid w:val="005E7379"/>
    <w:rsid w:val="005E7D68"/>
    <w:rsid w:val="005F327A"/>
    <w:rsid w:val="005F3B9D"/>
    <w:rsid w:val="005F3D8D"/>
    <w:rsid w:val="005F4107"/>
    <w:rsid w:val="005F43A4"/>
    <w:rsid w:val="005F4C59"/>
    <w:rsid w:val="005F4EEB"/>
    <w:rsid w:val="005F5C83"/>
    <w:rsid w:val="005F67CE"/>
    <w:rsid w:val="005F6BD3"/>
    <w:rsid w:val="005F71D7"/>
    <w:rsid w:val="005F73D8"/>
    <w:rsid w:val="00600162"/>
    <w:rsid w:val="006010DB"/>
    <w:rsid w:val="00601296"/>
    <w:rsid w:val="0060216A"/>
    <w:rsid w:val="00602A15"/>
    <w:rsid w:val="00602B6B"/>
    <w:rsid w:val="006034C7"/>
    <w:rsid w:val="00603710"/>
    <w:rsid w:val="006041D1"/>
    <w:rsid w:val="00605059"/>
    <w:rsid w:val="006055B1"/>
    <w:rsid w:val="006055FB"/>
    <w:rsid w:val="00605D2C"/>
    <w:rsid w:val="00607823"/>
    <w:rsid w:val="00607CC6"/>
    <w:rsid w:val="006103CB"/>
    <w:rsid w:val="0061076F"/>
    <w:rsid w:val="00610892"/>
    <w:rsid w:val="00610D28"/>
    <w:rsid w:val="00611959"/>
    <w:rsid w:val="0061200B"/>
    <w:rsid w:val="00613C2E"/>
    <w:rsid w:val="00614BCA"/>
    <w:rsid w:val="00614C3C"/>
    <w:rsid w:val="00614E2E"/>
    <w:rsid w:val="00614F21"/>
    <w:rsid w:val="00615FBA"/>
    <w:rsid w:val="0061657C"/>
    <w:rsid w:val="006170CE"/>
    <w:rsid w:val="006174AC"/>
    <w:rsid w:val="0062063A"/>
    <w:rsid w:val="006210FC"/>
    <w:rsid w:val="0062114A"/>
    <w:rsid w:val="006214EB"/>
    <w:rsid w:val="00621D45"/>
    <w:rsid w:val="00622A35"/>
    <w:rsid w:val="0062397F"/>
    <w:rsid w:val="00623FCE"/>
    <w:rsid w:val="006249E5"/>
    <w:rsid w:val="00624D13"/>
    <w:rsid w:val="00624D5A"/>
    <w:rsid w:val="00624DEC"/>
    <w:rsid w:val="00625E85"/>
    <w:rsid w:val="00626031"/>
    <w:rsid w:val="00626C25"/>
    <w:rsid w:val="00627874"/>
    <w:rsid w:val="00630367"/>
    <w:rsid w:val="00630EDF"/>
    <w:rsid w:val="00631603"/>
    <w:rsid w:val="00632007"/>
    <w:rsid w:val="006321BC"/>
    <w:rsid w:val="006321E0"/>
    <w:rsid w:val="006321ED"/>
    <w:rsid w:val="006322A1"/>
    <w:rsid w:val="006323D9"/>
    <w:rsid w:val="006323EB"/>
    <w:rsid w:val="006328A4"/>
    <w:rsid w:val="006335A2"/>
    <w:rsid w:val="00633A9B"/>
    <w:rsid w:val="00634935"/>
    <w:rsid w:val="00634D7F"/>
    <w:rsid w:val="00635FC3"/>
    <w:rsid w:val="00636EB1"/>
    <w:rsid w:val="0063766B"/>
    <w:rsid w:val="00640A4B"/>
    <w:rsid w:val="00640D38"/>
    <w:rsid w:val="00641107"/>
    <w:rsid w:val="0064192B"/>
    <w:rsid w:val="00641A26"/>
    <w:rsid w:val="00641BF6"/>
    <w:rsid w:val="00641D92"/>
    <w:rsid w:val="00641F1C"/>
    <w:rsid w:val="00641F86"/>
    <w:rsid w:val="00642211"/>
    <w:rsid w:val="006429E2"/>
    <w:rsid w:val="006439E9"/>
    <w:rsid w:val="00644115"/>
    <w:rsid w:val="006442CC"/>
    <w:rsid w:val="006459D8"/>
    <w:rsid w:val="006459ED"/>
    <w:rsid w:val="006466F7"/>
    <w:rsid w:val="00646E3D"/>
    <w:rsid w:val="00647904"/>
    <w:rsid w:val="00647CF4"/>
    <w:rsid w:val="00650385"/>
    <w:rsid w:val="00650AFE"/>
    <w:rsid w:val="00651281"/>
    <w:rsid w:val="006519DA"/>
    <w:rsid w:val="00651DEA"/>
    <w:rsid w:val="00651E07"/>
    <w:rsid w:val="00652025"/>
    <w:rsid w:val="0065220C"/>
    <w:rsid w:val="0065221F"/>
    <w:rsid w:val="00653114"/>
    <w:rsid w:val="00653179"/>
    <w:rsid w:val="00653A2F"/>
    <w:rsid w:val="00653A87"/>
    <w:rsid w:val="00654182"/>
    <w:rsid w:val="006544B6"/>
    <w:rsid w:val="00656B5F"/>
    <w:rsid w:val="00656E70"/>
    <w:rsid w:val="00657529"/>
    <w:rsid w:val="00657BC1"/>
    <w:rsid w:val="0066035E"/>
    <w:rsid w:val="006608EF"/>
    <w:rsid w:val="006609E9"/>
    <w:rsid w:val="00660AE5"/>
    <w:rsid w:val="006615B3"/>
    <w:rsid w:val="00662922"/>
    <w:rsid w:val="00662AF5"/>
    <w:rsid w:val="00662F0D"/>
    <w:rsid w:val="00663E00"/>
    <w:rsid w:val="006645A6"/>
    <w:rsid w:val="0066463A"/>
    <w:rsid w:val="00664E0F"/>
    <w:rsid w:val="0066687D"/>
    <w:rsid w:val="00670A0A"/>
    <w:rsid w:val="00670CBB"/>
    <w:rsid w:val="00670FC7"/>
    <w:rsid w:val="006719A6"/>
    <w:rsid w:val="00672426"/>
    <w:rsid w:val="00672BB7"/>
    <w:rsid w:val="00672EAF"/>
    <w:rsid w:val="00673750"/>
    <w:rsid w:val="00673D34"/>
    <w:rsid w:val="00674FD0"/>
    <w:rsid w:val="0067563B"/>
    <w:rsid w:val="00675B68"/>
    <w:rsid w:val="006761D9"/>
    <w:rsid w:val="006763BC"/>
    <w:rsid w:val="006808BD"/>
    <w:rsid w:val="00680DE5"/>
    <w:rsid w:val="00680E83"/>
    <w:rsid w:val="00680F5B"/>
    <w:rsid w:val="00681290"/>
    <w:rsid w:val="00681A8C"/>
    <w:rsid w:val="00681B2B"/>
    <w:rsid w:val="00681B3D"/>
    <w:rsid w:val="0068234C"/>
    <w:rsid w:val="00683D86"/>
    <w:rsid w:val="006844C8"/>
    <w:rsid w:val="006858FF"/>
    <w:rsid w:val="00686296"/>
    <w:rsid w:val="00690109"/>
    <w:rsid w:val="006906E5"/>
    <w:rsid w:val="006908A0"/>
    <w:rsid w:val="00690B70"/>
    <w:rsid w:val="00691134"/>
    <w:rsid w:val="00691EB4"/>
    <w:rsid w:val="0069205D"/>
    <w:rsid w:val="006920CD"/>
    <w:rsid w:val="0069382D"/>
    <w:rsid w:val="00693F14"/>
    <w:rsid w:val="00694CFD"/>
    <w:rsid w:val="00694CFE"/>
    <w:rsid w:val="00695386"/>
    <w:rsid w:val="006954F1"/>
    <w:rsid w:val="00695672"/>
    <w:rsid w:val="00696568"/>
    <w:rsid w:val="00696A54"/>
    <w:rsid w:val="0069732C"/>
    <w:rsid w:val="006A1AC5"/>
    <w:rsid w:val="006A256E"/>
    <w:rsid w:val="006A263C"/>
    <w:rsid w:val="006A27A7"/>
    <w:rsid w:val="006A2E54"/>
    <w:rsid w:val="006A2FD1"/>
    <w:rsid w:val="006A3165"/>
    <w:rsid w:val="006A3515"/>
    <w:rsid w:val="006A374E"/>
    <w:rsid w:val="006A433C"/>
    <w:rsid w:val="006A4884"/>
    <w:rsid w:val="006A4A43"/>
    <w:rsid w:val="006A4C85"/>
    <w:rsid w:val="006A5001"/>
    <w:rsid w:val="006A7F4D"/>
    <w:rsid w:val="006A7F60"/>
    <w:rsid w:val="006B04F3"/>
    <w:rsid w:val="006B0A8F"/>
    <w:rsid w:val="006B0DF0"/>
    <w:rsid w:val="006B1622"/>
    <w:rsid w:val="006B377D"/>
    <w:rsid w:val="006B3DCE"/>
    <w:rsid w:val="006B3FB7"/>
    <w:rsid w:val="006B55FD"/>
    <w:rsid w:val="006B5DB2"/>
    <w:rsid w:val="006B6242"/>
    <w:rsid w:val="006B6EBD"/>
    <w:rsid w:val="006B7DC7"/>
    <w:rsid w:val="006C0AA5"/>
    <w:rsid w:val="006C0C17"/>
    <w:rsid w:val="006C2AC4"/>
    <w:rsid w:val="006C2EA4"/>
    <w:rsid w:val="006C31AE"/>
    <w:rsid w:val="006C3EB2"/>
    <w:rsid w:val="006C3F6B"/>
    <w:rsid w:val="006C43DC"/>
    <w:rsid w:val="006C590C"/>
    <w:rsid w:val="006C5C22"/>
    <w:rsid w:val="006C69B0"/>
    <w:rsid w:val="006C6C16"/>
    <w:rsid w:val="006C79A4"/>
    <w:rsid w:val="006D0905"/>
    <w:rsid w:val="006D0A22"/>
    <w:rsid w:val="006D0E5D"/>
    <w:rsid w:val="006D0FBB"/>
    <w:rsid w:val="006D1471"/>
    <w:rsid w:val="006D1762"/>
    <w:rsid w:val="006D3942"/>
    <w:rsid w:val="006D4053"/>
    <w:rsid w:val="006D407A"/>
    <w:rsid w:val="006D4E7A"/>
    <w:rsid w:val="006D4F44"/>
    <w:rsid w:val="006D4FA8"/>
    <w:rsid w:val="006D6861"/>
    <w:rsid w:val="006D6DA3"/>
    <w:rsid w:val="006D6FFE"/>
    <w:rsid w:val="006E1624"/>
    <w:rsid w:val="006E3CA0"/>
    <w:rsid w:val="006E41BE"/>
    <w:rsid w:val="006E4940"/>
    <w:rsid w:val="006E4A4C"/>
    <w:rsid w:val="006E4C8D"/>
    <w:rsid w:val="006E567B"/>
    <w:rsid w:val="006E5C9A"/>
    <w:rsid w:val="006E68A8"/>
    <w:rsid w:val="006E6A6A"/>
    <w:rsid w:val="006E7D3A"/>
    <w:rsid w:val="006F0352"/>
    <w:rsid w:val="006F3566"/>
    <w:rsid w:val="006F3821"/>
    <w:rsid w:val="006F3D78"/>
    <w:rsid w:val="006F4020"/>
    <w:rsid w:val="006F4930"/>
    <w:rsid w:val="006F5679"/>
    <w:rsid w:val="006F7918"/>
    <w:rsid w:val="006F7DB5"/>
    <w:rsid w:val="00701797"/>
    <w:rsid w:val="00702F88"/>
    <w:rsid w:val="0070309C"/>
    <w:rsid w:val="00703A05"/>
    <w:rsid w:val="00704B10"/>
    <w:rsid w:val="00704C30"/>
    <w:rsid w:val="00706A16"/>
    <w:rsid w:val="0070758A"/>
    <w:rsid w:val="00710AB7"/>
    <w:rsid w:val="00710F02"/>
    <w:rsid w:val="00711378"/>
    <w:rsid w:val="00711694"/>
    <w:rsid w:val="00711D3F"/>
    <w:rsid w:val="00712844"/>
    <w:rsid w:val="00712B48"/>
    <w:rsid w:val="007135ED"/>
    <w:rsid w:val="00714979"/>
    <w:rsid w:val="0071539E"/>
    <w:rsid w:val="00715468"/>
    <w:rsid w:val="007163CC"/>
    <w:rsid w:val="00717149"/>
    <w:rsid w:val="00717EFF"/>
    <w:rsid w:val="00720166"/>
    <w:rsid w:val="00720D1D"/>
    <w:rsid w:val="0072129E"/>
    <w:rsid w:val="00721DAA"/>
    <w:rsid w:val="00722412"/>
    <w:rsid w:val="00722BA8"/>
    <w:rsid w:val="00723860"/>
    <w:rsid w:val="0072388D"/>
    <w:rsid w:val="00723A2F"/>
    <w:rsid w:val="007269A3"/>
    <w:rsid w:val="00726E8C"/>
    <w:rsid w:val="00727515"/>
    <w:rsid w:val="00727540"/>
    <w:rsid w:val="0072775E"/>
    <w:rsid w:val="00730084"/>
    <w:rsid w:val="007305E4"/>
    <w:rsid w:val="007312A6"/>
    <w:rsid w:val="0073190A"/>
    <w:rsid w:val="00731FCB"/>
    <w:rsid w:val="0073226F"/>
    <w:rsid w:val="007325F4"/>
    <w:rsid w:val="0073287A"/>
    <w:rsid w:val="00732CBE"/>
    <w:rsid w:val="00734310"/>
    <w:rsid w:val="007355F7"/>
    <w:rsid w:val="00735A62"/>
    <w:rsid w:val="0073779E"/>
    <w:rsid w:val="00737900"/>
    <w:rsid w:val="00737B08"/>
    <w:rsid w:val="00740ABE"/>
    <w:rsid w:val="0074373A"/>
    <w:rsid w:val="00743E63"/>
    <w:rsid w:val="00744528"/>
    <w:rsid w:val="00744A10"/>
    <w:rsid w:val="00744A33"/>
    <w:rsid w:val="00744B25"/>
    <w:rsid w:val="00745121"/>
    <w:rsid w:val="0074568C"/>
    <w:rsid w:val="007467DC"/>
    <w:rsid w:val="00747A12"/>
    <w:rsid w:val="00747BC5"/>
    <w:rsid w:val="0075079F"/>
    <w:rsid w:val="00750BE8"/>
    <w:rsid w:val="00750C14"/>
    <w:rsid w:val="00750EBF"/>
    <w:rsid w:val="007537BA"/>
    <w:rsid w:val="007550E3"/>
    <w:rsid w:val="00755C1B"/>
    <w:rsid w:val="00755F5E"/>
    <w:rsid w:val="00755FE8"/>
    <w:rsid w:val="0075605E"/>
    <w:rsid w:val="0075693C"/>
    <w:rsid w:val="00756C76"/>
    <w:rsid w:val="007573E4"/>
    <w:rsid w:val="00760247"/>
    <w:rsid w:val="007602AE"/>
    <w:rsid w:val="00760908"/>
    <w:rsid w:val="00760E39"/>
    <w:rsid w:val="00761721"/>
    <w:rsid w:val="00761C43"/>
    <w:rsid w:val="00761D0A"/>
    <w:rsid w:val="00762041"/>
    <w:rsid w:val="00762821"/>
    <w:rsid w:val="00763B6E"/>
    <w:rsid w:val="00763E66"/>
    <w:rsid w:val="0076448D"/>
    <w:rsid w:val="00764A06"/>
    <w:rsid w:val="00764ADE"/>
    <w:rsid w:val="0076555F"/>
    <w:rsid w:val="00765A4F"/>
    <w:rsid w:val="00765B80"/>
    <w:rsid w:val="00765CC7"/>
    <w:rsid w:val="007701EF"/>
    <w:rsid w:val="007709B1"/>
    <w:rsid w:val="00770D3F"/>
    <w:rsid w:val="00771AE3"/>
    <w:rsid w:val="00771C5A"/>
    <w:rsid w:val="007722AB"/>
    <w:rsid w:val="007734AD"/>
    <w:rsid w:val="0077354A"/>
    <w:rsid w:val="0077356E"/>
    <w:rsid w:val="007735C7"/>
    <w:rsid w:val="0077415C"/>
    <w:rsid w:val="007741C2"/>
    <w:rsid w:val="007741C8"/>
    <w:rsid w:val="0077466A"/>
    <w:rsid w:val="007747AD"/>
    <w:rsid w:val="00774844"/>
    <w:rsid w:val="00776267"/>
    <w:rsid w:val="007765CB"/>
    <w:rsid w:val="007765CF"/>
    <w:rsid w:val="007770AB"/>
    <w:rsid w:val="007772EC"/>
    <w:rsid w:val="00777C23"/>
    <w:rsid w:val="0078022B"/>
    <w:rsid w:val="0078045C"/>
    <w:rsid w:val="007805C2"/>
    <w:rsid w:val="0078089E"/>
    <w:rsid w:val="00782139"/>
    <w:rsid w:val="00782347"/>
    <w:rsid w:val="00783257"/>
    <w:rsid w:val="007834EC"/>
    <w:rsid w:val="00784CFA"/>
    <w:rsid w:val="007853DE"/>
    <w:rsid w:val="00785525"/>
    <w:rsid w:val="007863B3"/>
    <w:rsid w:val="0078688C"/>
    <w:rsid w:val="00786CCB"/>
    <w:rsid w:val="00787AB5"/>
    <w:rsid w:val="00787E24"/>
    <w:rsid w:val="0079028D"/>
    <w:rsid w:val="00790400"/>
    <w:rsid w:val="00791475"/>
    <w:rsid w:val="007915CA"/>
    <w:rsid w:val="00791C1D"/>
    <w:rsid w:val="00792762"/>
    <w:rsid w:val="00792833"/>
    <w:rsid w:val="00792A7F"/>
    <w:rsid w:val="00793A6E"/>
    <w:rsid w:val="00793AE0"/>
    <w:rsid w:val="00794415"/>
    <w:rsid w:val="00794EAE"/>
    <w:rsid w:val="007953E9"/>
    <w:rsid w:val="00795A43"/>
    <w:rsid w:val="00796147"/>
    <w:rsid w:val="00797DD8"/>
    <w:rsid w:val="007A014D"/>
    <w:rsid w:val="007A056D"/>
    <w:rsid w:val="007A171C"/>
    <w:rsid w:val="007A198C"/>
    <w:rsid w:val="007A254F"/>
    <w:rsid w:val="007A2CF2"/>
    <w:rsid w:val="007A2D38"/>
    <w:rsid w:val="007A332E"/>
    <w:rsid w:val="007A3B2E"/>
    <w:rsid w:val="007A3F8F"/>
    <w:rsid w:val="007A465A"/>
    <w:rsid w:val="007A476E"/>
    <w:rsid w:val="007A4944"/>
    <w:rsid w:val="007A4AED"/>
    <w:rsid w:val="007A523B"/>
    <w:rsid w:val="007A53BA"/>
    <w:rsid w:val="007A636D"/>
    <w:rsid w:val="007A6637"/>
    <w:rsid w:val="007A688F"/>
    <w:rsid w:val="007A6CD4"/>
    <w:rsid w:val="007A74BE"/>
    <w:rsid w:val="007A755F"/>
    <w:rsid w:val="007B021F"/>
    <w:rsid w:val="007B0260"/>
    <w:rsid w:val="007B028B"/>
    <w:rsid w:val="007B1039"/>
    <w:rsid w:val="007B1779"/>
    <w:rsid w:val="007B23A7"/>
    <w:rsid w:val="007B2D8A"/>
    <w:rsid w:val="007B348A"/>
    <w:rsid w:val="007B34AF"/>
    <w:rsid w:val="007B3B45"/>
    <w:rsid w:val="007B3C0C"/>
    <w:rsid w:val="007B3E6C"/>
    <w:rsid w:val="007B4436"/>
    <w:rsid w:val="007B4A83"/>
    <w:rsid w:val="007B5907"/>
    <w:rsid w:val="007B5A86"/>
    <w:rsid w:val="007B7B17"/>
    <w:rsid w:val="007C013E"/>
    <w:rsid w:val="007C0A89"/>
    <w:rsid w:val="007C136F"/>
    <w:rsid w:val="007C198F"/>
    <w:rsid w:val="007C2927"/>
    <w:rsid w:val="007C33EF"/>
    <w:rsid w:val="007C433A"/>
    <w:rsid w:val="007C48C4"/>
    <w:rsid w:val="007C4C6D"/>
    <w:rsid w:val="007C5E7C"/>
    <w:rsid w:val="007C627A"/>
    <w:rsid w:val="007C62BD"/>
    <w:rsid w:val="007C62C0"/>
    <w:rsid w:val="007C68EF"/>
    <w:rsid w:val="007C6A75"/>
    <w:rsid w:val="007C6CE5"/>
    <w:rsid w:val="007D0F7C"/>
    <w:rsid w:val="007D16C0"/>
    <w:rsid w:val="007D2B3E"/>
    <w:rsid w:val="007D2EDD"/>
    <w:rsid w:val="007D517E"/>
    <w:rsid w:val="007D616E"/>
    <w:rsid w:val="007D68C5"/>
    <w:rsid w:val="007D7C78"/>
    <w:rsid w:val="007E1828"/>
    <w:rsid w:val="007E2434"/>
    <w:rsid w:val="007E2F5C"/>
    <w:rsid w:val="007E3CFD"/>
    <w:rsid w:val="007E4486"/>
    <w:rsid w:val="007E5987"/>
    <w:rsid w:val="007E5BA8"/>
    <w:rsid w:val="007E5F19"/>
    <w:rsid w:val="007E62BF"/>
    <w:rsid w:val="007E6724"/>
    <w:rsid w:val="007E68D3"/>
    <w:rsid w:val="007E6965"/>
    <w:rsid w:val="007E7378"/>
    <w:rsid w:val="007E78D6"/>
    <w:rsid w:val="007F02BA"/>
    <w:rsid w:val="007F06B5"/>
    <w:rsid w:val="007F0A0B"/>
    <w:rsid w:val="007F0C72"/>
    <w:rsid w:val="007F12A0"/>
    <w:rsid w:val="007F21FE"/>
    <w:rsid w:val="007F2686"/>
    <w:rsid w:val="007F2BA9"/>
    <w:rsid w:val="007F2E5F"/>
    <w:rsid w:val="007F3832"/>
    <w:rsid w:val="007F3C00"/>
    <w:rsid w:val="007F3EDC"/>
    <w:rsid w:val="007F4DEC"/>
    <w:rsid w:val="007F533F"/>
    <w:rsid w:val="007F56B0"/>
    <w:rsid w:val="007F5997"/>
    <w:rsid w:val="007F652B"/>
    <w:rsid w:val="007F6ED2"/>
    <w:rsid w:val="008000A7"/>
    <w:rsid w:val="008001AD"/>
    <w:rsid w:val="008006D6"/>
    <w:rsid w:val="00801736"/>
    <w:rsid w:val="0080199D"/>
    <w:rsid w:val="00801E4F"/>
    <w:rsid w:val="008021ED"/>
    <w:rsid w:val="008027C1"/>
    <w:rsid w:val="008027E4"/>
    <w:rsid w:val="00802828"/>
    <w:rsid w:val="0080376C"/>
    <w:rsid w:val="0080486E"/>
    <w:rsid w:val="00805BF4"/>
    <w:rsid w:val="008071DC"/>
    <w:rsid w:val="00807679"/>
    <w:rsid w:val="008107B4"/>
    <w:rsid w:val="00811B9C"/>
    <w:rsid w:val="00811F3C"/>
    <w:rsid w:val="0081224E"/>
    <w:rsid w:val="00813A55"/>
    <w:rsid w:val="00813AE8"/>
    <w:rsid w:val="0081432D"/>
    <w:rsid w:val="00814C4A"/>
    <w:rsid w:val="008150A4"/>
    <w:rsid w:val="008157B4"/>
    <w:rsid w:val="00815FD6"/>
    <w:rsid w:val="008161A3"/>
    <w:rsid w:val="008211B2"/>
    <w:rsid w:val="0082122A"/>
    <w:rsid w:val="00821357"/>
    <w:rsid w:val="00821593"/>
    <w:rsid w:val="00821CC9"/>
    <w:rsid w:val="00822AA5"/>
    <w:rsid w:val="00822E3E"/>
    <w:rsid w:val="008237E1"/>
    <w:rsid w:val="00824725"/>
    <w:rsid w:val="008248B9"/>
    <w:rsid w:val="00824D63"/>
    <w:rsid w:val="00824FE7"/>
    <w:rsid w:val="0082532F"/>
    <w:rsid w:val="00825BA4"/>
    <w:rsid w:val="00826F06"/>
    <w:rsid w:val="00827056"/>
    <w:rsid w:val="008273EB"/>
    <w:rsid w:val="0082751A"/>
    <w:rsid w:val="0082753C"/>
    <w:rsid w:val="00827DE2"/>
    <w:rsid w:val="00831046"/>
    <w:rsid w:val="008312A3"/>
    <w:rsid w:val="0083172D"/>
    <w:rsid w:val="00831D04"/>
    <w:rsid w:val="008323B7"/>
    <w:rsid w:val="008328E0"/>
    <w:rsid w:val="0083291C"/>
    <w:rsid w:val="00832F50"/>
    <w:rsid w:val="00832F74"/>
    <w:rsid w:val="008331E7"/>
    <w:rsid w:val="0083333E"/>
    <w:rsid w:val="008336D2"/>
    <w:rsid w:val="00833946"/>
    <w:rsid w:val="00833F30"/>
    <w:rsid w:val="00833FEF"/>
    <w:rsid w:val="00836516"/>
    <w:rsid w:val="00836863"/>
    <w:rsid w:val="00836A9A"/>
    <w:rsid w:val="00837446"/>
    <w:rsid w:val="0083752C"/>
    <w:rsid w:val="00837AAC"/>
    <w:rsid w:val="00837D50"/>
    <w:rsid w:val="0084045B"/>
    <w:rsid w:val="00840795"/>
    <w:rsid w:val="00840B92"/>
    <w:rsid w:val="00840DA9"/>
    <w:rsid w:val="00843823"/>
    <w:rsid w:val="00844C30"/>
    <w:rsid w:val="0084537E"/>
    <w:rsid w:val="00845A0F"/>
    <w:rsid w:val="00845B10"/>
    <w:rsid w:val="00846160"/>
    <w:rsid w:val="008470E9"/>
    <w:rsid w:val="00847527"/>
    <w:rsid w:val="00847FA8"/>
    <w:rsid w:val="0085018A"/>
    <w:rsid w:val="008513C1"/>
    <w:rsid w:val="008514CB"/>
    <w:rsid w:val="0085258B"/>
    <w:rsid w:val="00852D03"/>
    <w:rsid w:val="00852F19"/>
    <w:rsid w:val="008531C1"/>
    <w:rsid w:val="00853819"/>
    <w:rsid w:val="008541AF"/>
    <w:rsid w:val="00854565"/>
    <w:rsid w:val="00855187"/>
    <w:rsid w:val="00855224"/>
    <w:rsid w:val="008557E0"/>
    <w:rsid w:val="00856C83"/>
    <w:rsid w:val="0085735A"/>
    <w:rsid w:val="008575D3"/>
    <w:rsid w:val="00857EBC"/>
    <w:rsid w:val="00860C9F"/>
    <w:rsid w:val="00862206"/>
    <w:rsid w:val="0086234A"/>
    <w:rsid w:val="008626A1"/>
    <w:rsid w:val="008632D7"/>
    <w:rsid w:val="008639C1"/>
    <w:rsid w:val="00864774"/>
    <w:rsid w:val="0086485B"/>
    <w:rsid w:val="00866947"/>
    <w:rsid w:val="00866A4B"/>
    <w:rsid w:val="00866CA2"/>
    <w:rsid w:val="00867A36"/>
    <w:rsid w:val="008711D7"/>
    <w:rsid w:val="00872293"/>
    <w:rsid w:val="008729A7"/>
    <w:rsid w:val="00872D9A"/>
    <w:rsid w:val="00873FD7"/>
    <w:rsid w:val="008741D5"/>
    <w:rsid w:val="008745C6"/>
    <w:rsid w:val="008747A0"/>
    <w:rsid w:val="00874A04"/>
    <w:rsid w:val="00874B34"/>
    <w:rsid w:val="008753AB"/>
    <w:rsid w:val="00875C95"/>
    <w:rsid w:val="00875E1D"/>
    <w:rsid w:val="00875E2A"/>
    <w:rsid w:val="00875F68"/>
    <w:rsid w:val="00877F46"/>
    <w:rsid w:val="00881584"/>
    <w:rsid w:val="00881752"/>
    <w:rsid w:val="008818EA"/>
    <w:rsid w:val="0088203C"/>
    <w:rsid w:val="00882341"/>
    <w:rsid w:val="00883339"/>
    <w:rsid w:val="00884598"/>
    <w:rsid w:val="008848AB"/>
    <w:rsid w:val="00884D69"/>
    <w:rsid w:val="00884D76"/>
    <w:rsid w:val="008850F7"/>
    <w:rsid w:val="00886462"/>
    <w:rsid w:val="008866A8"/>
    <w:rsid w:val="00886DD7"/>
    <w:rsid w:val="0088717D"/>
    <w:rsid w:val="00890DA5"/>
    <w:rsid w:val="008919FD"/>
    <w:rsid w:val="00892B37"/>
    <w:rsid w:val="00892EA3"/>
    <w:rsid w:val="00893363"/>
    <w:rsid w:val="00894801"/>
    <w:rsid w:val="00894DA1"/>
    <w:rsid w:val="0089721F"/>
    <w:rsid w:val="00897233"/>
    <w:rsid w:val="00897AC1"/>
    <w:rsid w:val="008A08D9"/>
    <w:rsid w:val="008A1ED6"/>
    <w:rsid w:val="008A210F"/>
    <w:rsid w:val="008A212A"/>
    <w:rsid w:val="008A26DF"/>
    <w:rsid w:val="008A40D1"/>
    <w:rsid w:val="008A4B47"/>
    <w:rsid w:val="008A50D4"/>
    <w:rsid w:val="008A5A03"/>
    <w:rsid w:val="008A5F31"/>
    <w:rsid w:val="008A6742"/>
    <w:rsid w:val="008A69B7"/>
    <w:rsid w:val="008A7024"/>
    <w:rsid w:val="008A73C2"/>
    <w:rsid w:val="008A7996"/>
    <w:rsid w:val="008A7C97"/>
    <w:rsid w:val="008B0268"/>
    <w:rsid w:val="008B0938"/>
    <w:rsid w:val="008B0E0B"/>
    <w:rsid w:val="008B1AC9"/>
    <w:rsid w:val="008B25BE"/>
    <w:rsid w:val="008B358A"/>
    <w:rsid w:val="008B4090"/>
    <w:rsid w:val="008B43ED"/>
    <w:rsid w:val="008B4603"/>
    <w:rsid w:val="008B46B3"/>
    <w:rsid w:val="008B4E7D"/>
    <w:rsid w:val="008B50E6"/>
    <w:rsid w:val="008B6138"/>
    <w:rsid w:val="008B6156"/>
    <w:rsid w:val="008B6F62"/>
    <w:rsid w:val="008B72B8"/>
    <w:rsid w:val="008B7822"/>
    <w:rsid w:val="008B7B38"/>
    <w:rsid w:val="008C0486"/>
    <w:rsid w:val="008C0FA0"/>
    <w:rsid w:val="008C14F9"/>
    <w:rsid w:val="008C1E8B"/>
    <w:rsid w:val="008C33E8"/>
    <w:rsid w:val="008C467C"/>
    <w:rsid w:val="008C473C"/>
    <w:rsid w:val="008C72C2"/>
    <w:rsid w:val="008D0862"/>
    <w:rsid w:val="008D152B"/>
    <w:rsid w:val="008D2BB0"/>
    <w:rsid w:val="008D413B"/>
    <w:rsid w:val="008D4FD1"/>
    <w:rsid w:val="008D6391"/>
    <w:rsid w:val="008D65C5"/>
    <w:rsid w:val="008D6F76"/>
    <w:rsid w:val="008E020E"/>
    <w:rsid w:val="008E15F8"/>
    <w:rsid w:val="008E17A9"/>
    <w:rsid w:val="008E1F7B"/>
    <w:rsid w:val="008E2132"/>
    <w:rsid w:val="008E2358"/>
    <w:rsid w:val="008E40E3"/>
    <w:rsid w:val="008E4C9E"/>
    <w:rsid w:val="008E563E"/>
    <w:rsid w:val="008E5769"/>
    <w:rsid w:val="008E59DE"/>
    <w:rsid w:val="008E63E9"/>
    <w:rsid w:val="008E67E4"/>
    <w:rsid w:val="008E6BE1"/>
    <w:rsid w:val="008E6FF0"/>
    <w:rsid w:val="008E70FA"/>
    <w:rsid w:val="008E720D"/>
    <w:rsid w:val="008E7F00"/>
    <w:rsid w:val="008F05EF"/>
    <w:rsid w:val="008F0A95"/>
    <w:rsid w:val="008F0DF5"/>
    <w:rsid w:val="008F1714"/>
    <w:rsid w:val="008F1CB5"/>
    <w:rsid w:val="008F28D9"/>
    <w:rsid w:val="008F2C71"/>
    <w:rsid w:val="008F3736"/>
    <w:rsid w:val="008F3AA3"/>
    <w:rsid w:val="008F4510"/>
    <w:rsid w:val="008F5086"/>
    <w:rsid w:val="008F58F4"/>
    <w:rsid w:val="008F603A"/>
    <w:rsid w:val="008F61BC"/>
    <w:rsid w:val="008F6490"/>
    <w:rsid w:val="008F674F"/>
    <w:rsid w:val="008F6BB6"/>
    <w:rsid w:val="008F6CFA"/>
    <w:rsid w:val="008F7077"/>
    <w:rsid w:val="008F7396"/>
    <w:rsid w:val="008F7618"/>
    <w:rsid w:val="008F783C"/>
    <w:rsid w:val="008F7DD2"/>
    <w:rsid w:val="009007AE"/>
    <w:rsid w:val="00900832"/>
    <w:rsid w:val="00900B4F"/>
    <w:rsid w:val="00901688"/>
    <w:rsid w:val="0090266A"/>
    <w:rsid w:val="00903266"/>
    <w:rsid w:val="00903972"/>
    <w:rsid w:val="00903F27"/>
    <w:rsid w:val="00904302"/>
    <w:rsid w:val="00904D8E"/>
    <w:rsid w:val="00905E31"/>
    <w:rsid w:val="009073F2"/>
    <w:rsid w:val="009078F0"/>
    <w:rsid w:val="00907B59"/>
    <w:rsid w:val="009104EB"/>
    <w:rsid w:val="009122B7"/>
    <w:rsid w:val="00912BCD"/>
    <w:rsid w:val="00912F5D"/>
    <w:rsid w:val="009134E8"/>
    <w:rsid w:val="00913815"/>
    <w:rsid w:val="00913A9A"/>
    <w:rsid w:val="00913E2E"/>
    <w:rsid w:val="00915670"/>
    <w:rsid w:val="009166A6"/>
    <w:rsid w:val="00916855"/>
    <w:rsid w:val="00921352"/>
    <w:rsid w:val="0092142D"/>
    <w:rsid w:val="00921E54"/>
    <w:rsid w:val="00922A1D"/>
    <w:rsid w:val="00922A6E"/>
    <w:rsid w:val="00922D01"/>
    <w:rsid w:val="00923180"/>
    <w:rsid w:val="009246D4"/>
    <w:rsid w:val="00924D8E"/>
    <w:rsid w:val="00924F2D"/>
    <w:rsid w:val="009254C6"/>
    <w:rsid w:val="00925F49"/>
    <w:rsid w:val="00926B38"/>
    <w:rsid w:val="0092734A"/>
    <w:rsid w:val="009278C7"/>
    <w:rsid w:val="00927B81"/>
    <w:rsid w:val="009306E0"/>
    <w:rsid w:val="00930FAE"/>
    <w:rsid w:val="00931352"/>
    <w:rsid w:val="00931A67"/>
    <w:rsid w:val="009325B1"/>
    <w:rsid w:val="00933003"/>
    <w:rsid w:val="0093340F"/>
    <w:rsid w:val="0093349E"/>
    <w:rsid w:val="00934BFC"/>
    <w:rsid w:val="00934D05"/>
    <w:rsid w:val="009358F1"/>
    <w:rsid w:val="00935D02"/>
    <w:rsid w:val="009367A7"/>
    <w:rsid w:val="00936B45"/>
    <w:rsid w:val="00936BD3"/>
    <w:rsid w:val="00937D90"/>
    <w:rsid w:val="0094012A"/>
    <w:rsid w:val="009404E5"/>
    <w:rsid w:val="00940EC9"/>
    <w:rsid w:val="00941173"/>
    <w:rsid w:val="009425A1"/>
    <w:rsid w:val="00942657"/>
    <w:rsid w:val="00942AA4"/>
    <w:rsid w:val="00943178"/>
    <w:rsid w:val="0094385A"/>
    <w:rsid w:val="00944191"/>
    <w:rsid w:val="00944635"/>
    <w:rsid w:val="0094603F"/>
    <w:rsid w:val="009461CB"/>
    <w:rsid w:val="00946CAA"/>
    <w:rsid w:val="00947BAE"/>
    <w:rsid w:val="00947F75"/>
    <w:rsid w:val="00950AF5"/>
    <w:rsid w:val="0095126B"/>
    <w:rsid w:val="00951BB9"/>
    <w:rsid w:val="00952B8A"/>
    <w:rsid w:val="00953471"/>
    <w:rsid w:val="0095398A"/>
    <w:rsid w:val="009539C4"/>
    <w:rsid w:val="00953C5B"/>
    <w:rsid w:val="0095473A"/>
    <w:rsid w:val="00954F10"/>
    <w:rsid w:val="00957C29"/>
    <w:rsid w:val="00960364"/>
    <w:rsid w:val="0096048C"/>
    <w:rsid w:val="0096099E"/>
    <w:rsid w:val="00960BBB"/>
    <w:rsid w:val="00960E47"/>
    <w:rsid w:val="0096121B"/>
    <w:rsid w:val="009612E5"/>
    <w:rsid w:val="009618DB"/>
    <w:rsid w:val="00962173"/>
    <w:rsid w:val="009621DA"/>
    <w:rsid w:val="0096357D"/>
    <w:rsid w:val="009642B6"/>
    <w:rsid w:val="00965018"/>
    <w:rsid w:val="009657EB"/>
    <w:rsid w:val="0096750E"/>
    <w:rsid w:val="00967B50"/>
    <w:rsid w:val="00967CDE"/>
    <w:rsid w:val="0097070F"/>
    <w:rsid w:val="00970967"/>
    <w:rsid w:val="00970AC7"/>
    <w:rsid w:val="00970BEE"/>
    <w:rsid w:val="00971433"/>
    <w:rsid w:val="00971795"/>
    <w:rsid w:val="009719F1"/>
    <w:rsid w:val="00971BC5"/>
    <w:rsid w:val="00971E6E"/>
    <w:rsid w:val="00972A18"/>
    <w:rsid w:val="00972C10"/>
    <w:rsid w:val="0097302A"/>
    <w:rsid w:val="0097416C"/>
    <w:rsid w:val="0097461D"/>
    <w:rsid w:val="009747A0"/>
    <w:rsid w:val="00974A88"/>
    <w:rsid w:val="00974BCA"/>
    <w:rsid w:val="00974E4D"/>
    <w:rsid w:val="009753BA"/>
    <w:rsid w:val="009773A0"/>
    <w:rsid w:val="00977BDD"/>
    <w:rsid w:val="009800E7"/>
    <w:rsid w:val="009805FB"/>
    <w:rsid w:val="0098062D"/>
    <w:rsid w:val="00980648"/>
    <w:rsid w:val="0098152B"/>
    <w:rsid w:val="00981705"/>
    <w:rsid w:val="00981CA8"/>
    <w:rsid w:val="00981FE7"/>
    <w:rsid w:val="00982A14"/>
    <w:rsid w:val="00982B6E"/>
    <w:rsid w:val="00982C72"/>
    <w:rsid w:val="0098314A"/>
    <w:rsid w:val="009836D4"/>
    <w:rsid w:val="00983DD4"/>
    <w:rsid w:val="00984072"/>
    <w:rsid w:val="0098488B"/>
    <w:rsid w:val="009848DC"/>
    <w:rsid w:val="0098526F"/>
    <w:rsid w:val="009867DC"/>
    <w:rsid w:val="0098769B"/>
    <w:rsid w:val="009919D8"/>
    <w:rsid w:val="00992DB8"/>
    <w:rsid w:val="009935A2"/>
    <w:rsid w:val="009939F8"/>
    <w:rsid w:val="00994167"/>
    <w:rsid w:val="0099475E"/>
    <w:rsid w:val="00994A2B"/>
    <w:rsid w:val="00994C31"/>
    <w:rsid w:val="009961C6"/>
    <w:rsid w:val="009963E5"/>
    <w:rsid w:val="00996BD7"/>
    <w:rsid w:val="00997CAB"/>
    <w:rsid w:val="00997FC1"/>
    <w:rsid w:val="009A0780"/>
    <w:rsid w:val="009A0B72"/>
    <w:rsid w:val="009A129B"/>
    <w:rsid w:val="009A138A"/>
    <w:rsid w:val="009A1CAE"/>
    <w:rsid w:val="009A225B"/>
    <w:rsid w:val="009A2B1E"/>
    <w:rsid w:val="009A30D4"/>
    <w:rsid w:val="009A32E7"/>
    <w:rsid w:val="009A39CF"/>
    <w:rsid w:val="009A49DF"/>
    <w:rsid w:val="009A58E6"/>
    <w:rsid w:val="009A5C48"/>
    <w:rsid w:val="009A7BA7"/>
    <w:rsid w:val="009B355A"/>
    <w:rsid w:val="009B3F8F"/>
    <w:rsid w:val="009B3FC8"/>
    <w:rsid w:val="009B44EF"/>
    <w:rsid w:val="009B4D71"/>
    <w:rsid w:val="009B4E46"/>
    <w:rsid w:val="009B5BC5"/>
    <w:rsid w:val="009B6808"/>
    <w:rsid w:val="009B69DB"/>
    <w:rsid w:val="009B6D4B"/>
    <w:rsid w:val="009B7AC3"/>
    <w:rsid w:val="009B7BA5"/>
    <w:rsid w:val="009C165C"/>
    <w:rsid w:val="009C1F93"/>
    <w:rsid w:val="009C32C4"/>
    <w:rsid w:val="009C3881"/>
    <w:rsid w:val="009C38DA"/>
    <w:rsid w:val="009C42D3"/>
    <w:rsid w:val="009C45E8"/>
    <w:rsid w:val="009C52D0"/>
    <w:rsid w:val="009C66B5"/>
    <w:rsid w:val="009C6976"/>
    <w:rsid w:val="009C6B61"/>
    <w:rsid w:val="009C71D7"/>
    <w:rsid w:val="009C730A"/>
    <w:rsid w:val="009C7ADF"/>
    <w:rsid w:val="009D0C13"/>
    <w:rsid w:val="009D0CEC"/>
    <w:rsid w:val="009D0E10"/>
    <w:rsid w:val="009D16DE"/>
    <w:rsid w:val="009D1DA2"/>
    <w:rsid w:val="009D231B"/>
    <w:rsid w:val="009D2453"/>
    <w:rsid w:val="009D2905"/>
    <w:rsid w:val="009D29AA"/>
    <w:rsid w:val="009D336A"/>
    <w:rsid w:val="009D4B67"/>
    <w:rsid w:val="009D53DB"/>
    <w:rsid w:val="009D5CE5"/>
    <w:rsid w:val="009D6C09"/>
    <w:rsid w:val="009D7028"/>
    <w:rsid w:val="009D70F1"/>
    <w:rsid w:val="009D7975"/>
    <w:rsid w:val="009D7F25"/>
    <w:rsid w:val="009E022B"/>
    <w:rsid w:val="009E0E38"/>
    <w:rsid w:val="009E0F68"/>
    <w:rsid w:val="009E0FD2"/>
    <w:rsid w:val="009E103E"/>
    <w:rsid w:val="009E12CE"/>
    <w:rsid w:val="009E2461"/>
    <w:rsid w:val="009E25F5"/>
    <w:rsid w:val="009E360B"/>
    <w:rsid w:val="009E5469"/>
    <w:rsid w:val="009E7605"/>
    <w:rsid w:val="009E7DBA"/>
    <w:rsid w:val="009F00D6"/>
    <w:rsid w:val="009F024F"/>
    <w:rsid w:val="009F0727"/>
    <w:rsid w:val="009F090A"/>
    <w:rsid w:val="009F0BBB"/>
    <w:rsid w:val="009F16D2"/>
    <w:rsid w:val="009F17D4"/>
    <w:rsid w:val="009F1B3B"/>
    <w:rsid w:val="009F24FB"/>
    <w:rsid w:val="009F27CD"/>
    <w:rsid w:val="009F28B1"/>
    <w:rsid w:val="009F3A33"/>
    <w:rsid w:val="009F3CE9"/>
    <w:rsid w:val="009F56A0"/>
    <w:rsid w:val="009F5791"/>
    <w:rsid w:val="009F6068"/>
    <w:rsid w:val="009F6380"/>
    <w:rsid w:val="009F75F0"/>
    <w:rsid w:val="009F798D"/>
    <w:rsid w:val="00A0191F"/>
    <w:rsid w:val="00A02679"/>
    <w:rsid w:val="00A03297"/>
    <w:rsid w:val="00A035A3"/>
    <w:rsid w:val="00A0427B"/>
    <w:rsid w:val="00A04E82"/>
    <w:rsid w:val="00A0585C"/>
    <w:rsid w:val="00A05EF0"/>
    <w:rsid w:val="00A05F9A"/>
    <w:rsid w:val="00A06AE6"/>
    <w:rsid w:val="00A07A55"/>
    <w:rsid w:val="00A10285"/>
    <w:rsid w:val="00A113BC"/>
    <w:rsid w:val="00A1162F"/>
    <w:rsid w:val="00A11A3E"/>
    <w:rsid w:val="00A12D56"/>
    <w:rsid w:val="00A1370C"/>
    <w:rsid w:val="00A13F8C"/>
    <w:rsid w:val="00A13FA8"/>
    <w:rsid w:val="00A14744"/>
    <w:rsid w:val="00A1513D"/>
    <w:rsid w:val="00A16078"/>
    <w:rsid w:val="00A1644A"/>
    <w:rsid w:val="00A164A1"/>
    <w:rsid w:val="00A166BE"/>
    <w:rsid w:val="00A16AA2"/>
    <w:rsid w:val="00A16F03"/>
    <w:rsid w:val="00A17ADF"/>
    <w:rsid w:val="00A20178"/>
    <w:rsid w:val="00A203C4"/>
    <w:rsid w:val="00A205D6"/>
    <w:rsid w:val="00A20805"/>
    <w:rsid w:val="00A20BB7"/>
    <w:rsid w:val="00A2136A"/>
    <w:rsid w:val="00A22103"/>
    <w:rsid w:val="00A226CE"/>
    <w:rsid w:val="00A22A16"/>
    <w:rsid w:val="00A22A7F"/>
    <w:rsid w:val="00A22B8E"/>
    <w:rsid w:val="00A238F9"/>
    <w:rsid w:val="00A23A4C"/>
    <w:rsid w:val="00A24685"/>
    <w:rsid w:val="00A24AA5"/>
    <w:rsid w:val="00A24D35"/>
    <w:rsid w:val="00A25199"/>
    <w:rsid w:val="00A254B4"/>
    <w:rsid w:val="00A27C1E"/>
    <w:rsid w:val="00A27E09"/>
    <w:rsid w:val="00A3021B"/>
    <w:rsid w:val="00A30870"/>
    <w:rsid w:val="00A31199"/>
    <w:rsid w:val="00A3134F"/>
    <w:rsid w:val="00A313D4"/>
    <w:rsid w:val="00A32176"/>
    <w:rsid w:val="00A32A27"/>
    <w:rsid w:val="00A332F1"/>
    <w:rsid w:val="00A33B43"/>
    <w:rsid w:val="00A350CC"/>
    <w:rsid w:val="00A35A6B"/>
    <w:rsid w:val="00A40FA7"/>
    <w:rsid w:val="00A4318C"/>
    <w:rsid w:val="00A43EA9"/>
    <w:rsid w:val="00A44968"/>
    <w:rsid w:val="00A4606A"/>
    <w:rsid w:val="00A467D5"/>
    <w:rsid w:val="00A47DC6"/>
    <w:rsid w:val="00A50F80"/>
    <w:rsid w:val="00A51A86"/>
    <w:rsid w:val="00A51C15"/>
    <w:rsid w:val="00A52580"/>
    <w:rsid w:val="00A5293A"/>
    <w:rsid w:val="00A52B57"/>
    <w:rsid w:val="00A531BC"/>
    <w:rsid w:val="00A53525"/>
    <w:rsid w:val="00A551C1"/>
    <w:rsid w:val="00A55D39"/>
    <w:rsid w:val="00A56BC5"/>
    <w:rsid w:val="00A57994"/>
    <w:rsid w:val="00A57B3E"/>
    <w:rsid w:val="00A6083F"/>
    <w:rsid w:val="00A60A1F"/>
    <w:rsid w:val="00A61904"/>
    <w:rsid w:val="00A624B8"/>
    <w:rsid w:val="00A62510"/>
    <w:rsid w:val="00A62AFA"/>
    <w:rsid w:val="00A62B86"/>
    <w:rsid w:val="00A638AB"/>
    <w:rsid w:val="00A64491"/>
    <w:rsid w:val="00A64968"/>
    <w:rsid w:val="00A65018"/>
    <w:rsid w:val="00A65BFD"/>
    <w:rsid w:val="00A66762"/>
    <w:rsid w:val="00A706D1"/>
    <w:rsid w:val="00A707BC"/>
    <w:rsid w:val="00A70BEA"/>
    <w:rsid w:val="00A71A6A"/>
    <w:rsid w:val="00A72020"/>
    <w:rsid w:val="00A72402"/>
    <w:rsid w:val="00A72A1B"/>
    <w:rsid w:val="00A736B3"/>
    <w:rsid w:val="00A740E9"/>
    <w:rsid w:val="00A74447"/>
    <w:rsid w:val="00A7538E"/>
    <w:rsid w:val="00A755CC"/>
    <w:rsid w:val="00A75751"/>
    <w:rsid w:val="00A76160"/>
    <w:rsid w:val="00A763CA"/>
    <w:rsid w:val="00A81A38"/>
    <w:rsid w:val="00A8280B"/>
    <w:rsid w:val="00A83144"/>
    <w:rsid w:val="00A8394B"/>
    <w:rsid w:val="00A84F27"/>
    <w:rsid w:val="00A85E9F"/>
    <w:rsid w:val="00A865CA"/>
    <w:rsid w:val="00A86BF6"/>
    <w:rsid w:val="00A90192"/>
    <w:rsid w:val="00A90537"/>
    <w:rsid w:val="00A90776"/>
    <w:rsid w:val="00A919AB"/>
    <w:rsid w:val="00A91BE6"/>
    <w:rsid w:val="00A9274B"/>
    <w:rsid w:val="00A930D8"/>
    <w:rsid w:val="00A9376E"/>
    <w:rsid w:val="00A9483E"/>
    <w:rsid w:val="00A9485A"/>
    <w:rsid w:val="00A95080"/>
    <w:rsid w:val="00A95681"/>
    <w:rsid w:val="00A966FD"/>
    <w:rsid w:val="00A9672F"/>
    <w:rsid w:val="00A96924"/>
    <w:rsid w:val="00A96F70"/>
    <w:rsid w:val="00A97220"/>
    <w:rsid w:val="00A97D6F"/>
    <w:rsid w:val="00AA063E"/>
    <w:rsid w:val="00AA071D"/>
    <w:rsid w:val="00AA2BAE"/>
    <w:rsid w:val="00AA2D09"/>
    <w:rsid w:val="00AA34D8"/>
    <w:rsid w:val="00AA363F"/>
    <w:rsid w:val="00AA3822"/>
    <w:rsid w:val="00AA402A"/>
    <w:rsid w:val="00AA434F"/>
    <w:rsid w:val="00AA45FD"/>
    <w:rsid w:val="00AA4E46"/>
    <w:rsid w:val="00AA4E77"/>
    <w:rsid w:val="00AA5B4E"/>
    <w:rsid w:val="00AA761E"/>
    <w:rsid w:val="00AA7D41"/>
    <w:rsid w:val="00AB0551"/>
    <w:rsid w:val="00AB07D4"/>
    <w:rsid w:val="00AB1112"/>
    <w:rsid w:val="00AB14DD"/>
    <w:rsid w:val="00AB1F92"/>
    <w:rsid w:val="00AB2822"/>
    <w:rsid w:val="00AB4FE6"/>
    <w:rsid w:val="00AB5008"/>
    <w:rsid w:val="00AB5F81"/>
    <w:rsid w:val="00AB62EF"/>
    <w:rsid w:val="00AB642B"/>
    <w:rsid w:val="00AB662D"/>
    <w:rsid w:val="00AB6C06"/>
    <w:rsid w:val="00AB6FB0"/>
    <w:rsid w:val="00AB7066"/>
    <w:rsid w:val="00AB7715"/>
    <w:rsid w:val="00AC0CD1"/>
    <w:rsid w:val="00AC25E9"/>
    <w:rsid w:val="00AC2AC9"/>
    <w:rsid w:val="00AC382B"/>
    <w:rsid w:val="00AC3887"/>
    <w:rsid w:val="00AC417B"/>
    <w:rsid w:val="00AC43BE"/>
    <w:rsid w:val="00AC51B8"/>
    <w:rsid w:val="00AC5722"/>
    <w:rsid w:val="00AC5F7F"/>
    <w:rsid w:val="00AC6A0D"/>
    <w:rsid w:val="00AC71CE"/>
    <w:rsid w:val="00AC7CE4"/>
    <w:rsid w:val="00AC7EF5"/>
    <w:rsid w:val="00AC7F9D"/>
    <w:rsid w:val="00AD0143"/>
    <w:rsid w:val="00AD05F6"/>
    <w:rsid w:val="00AD175E"/>
    <w:rsid w:val="00AD1F28"/>
    <w:rsid w:val="00AD2BBD"/>
    <w:rsid w:val="00AD3CAB"/>
    <w:rsid w:val="00AD4820"/>
    <w:rsid w:val="00AD4C04"/>
    <w:rsid w:val="00AD525B"/>
    <w:rsid w:val="00AD5902"/>
    <w:rsid w:val="00AD5AF1"/>
    <w:rsid w:val="00AD6508"/>
    <w:rsid w:val="00AD73C9"/>
    <w:rsid w:val="00AE025A"/>
    <w:rsid w:val="00AE1347"/>
    <w:rsid w:val="00AE29DC"/>
    <w:rsid w:val="00AE2C58"/>
    <w:rsid w:val="00AE424A"/>
    <w:rsid w:val="00AE43E6"/>
    <w:rsid w:val="00AE4421"/>
    <w:rsid w:val="00AE4F27"/>
    <w:rsid w:val="00AE553B"/>
    <w:rsid w:val="00AE60F7"/>
    <w:rsid w:val="00AE6E1B"/>
    <w:rsid w:val="00AE74E3"/>
    <w:rsid w:val="00AE7D08"/>
    <w:rsid w:val="00AF1838"/>
    <w:rsid w:val="00AF1BE4"/>
    <w:rsid w:val="00AF20B1"/>
    <w:rsid w:val="00AF2287"/>
    <w:rsid w:val="00AF27BF"/>
    <w:rsid w:val="00AF3037"/>
    <w:rsid w:val="00AF32D1"/>
    <w:rsid w:val="00AF443F"/>
    <w:rsid w:val="00AF51A5"/>
    <w:rsid w:val="00AF598A"/>
    <w:rsid w:val="00AF5EE0"/>
    <w:rsid w:val="00AF6CB2"/>
    <w:rsid w:val="00AF70B0"/>
    <w:rsid w:val="00AF76B5"/>
    <w:rsid w:val="00B00173"/>
    <w:rsid w:val="00B00492"/>
    <w:rsid w:val="00B0118A"/>
    <w:rsid w:val="00B01611"/>
    <w:rsid w:val="00B029D3"/>
    <w:rsid w:val="00B02CA4"/>
    <w:rsid w:val="00B02D3E"/>
    <w:rsid w:val="00B0391B"/>
    <w:rsid w:val="00B03CDA"/>
    <w:rsid w:val="00B03E3A"/>
    <w:rsid w:val="00B0403A"/>
    <w:rsid w:val="00B04388"/>
    <w:rsid w:val="00B04E54"/>
    <w:rsid w:val="00B059B5"/>
    <w:rsid w:val="00B05BF5"/>
    <w:rsid w:val="00B05F3E"/>
    <w:rsid w:val="00B061C7"/>
    <w:rsid w:val="00B07CE7"/>
    <w:rsid w:val="00B103EF"/>
    <w:rsid w:val="00B10AAC"/>
    <w:rsid w:val="00B11319"/>
    <w:rsid w:val="00B11783"/>
    <w:rsid w:val="00B11CA0"/>
    <w:rsid w:val="00B1221D"/>
    <w:rsid w:val="00B12EB7"/>
    <w:rsid w:val="00B12F9A"/>
    <w:rsid w:val="00B13DC8"/>
    <w:rsid w:val="00B1710A"/>
    <w:rsid w:val="00B17FB4"/>
    <w:rsid w:val="00B201C2"/>
    <w:rsid w:val="00B20490"/>
    <w:rsid w:val="00B21408"/>
    <w:rsid w:val="00B2191B"/>
    <w:rsid w:val="00B21DE9"/>
    <w:rsid w:val="00B21E94"/>
    <w:rsid w:val="00B23485"/>
    <w:rsid w:val="00B23871"/>
    <w:rsid w:val="00B25B6B"/>
    <w:rsid w:val="00B2677D"/>
    <w:rsid w:val="00B27BD4"/>
    <w:rsid w:val="00B30DDC"/>
    <w:rsid w:val="00B32090"/>
    <w:rsid w:val="00B335E5"/>
    <w:rsid w:val="00B33B49"/>
    <w:rsid w:val="00B33DED"/>
    <w:rsid w:val="00B344E6"/>
    <w:rsid w:val="00B346B0"/>
    <w:rsid w:val="00B350CC"/>
    <w:rsid w:val="00B35120"/>
    <w:rsid w:val="00B356D7"/>
    <w:rsid w:val="00B35B16"/>
    <w:rsid w:val="00B37D3E"/>
    <w:rsid w:val="00B40637"/>
    <w:rsid w:val="00B40BFB"/>
    <w:rsid w:val="00B41562"/>
    <w:rsid w:val="00B41E96"/>
    <w:rsid w:val="00B42E4D"/>
    <w:rsid w:val="00B432BE"/>
    <w:rsid w:val="00B4335C"/>
    <w:rsid w:val="00B43AFF"/>
    <w:rsid w:val="00B44601"/>
    <w:rsid w:val="00B447BD"/>
    <w:rsid w:val="00B454A7"/>
    <w:rsid w:val="00B46E1F"/>
    <w:rsid w:val="00B47782"/>
    <w:rsid w:val="00B47DC1"/>
    <w:rsid w:val="00B50556"/>
    <w:rsid w:val="00B516AD"/>
    <w:rsid w:val="00B51D7D"/>
    <w:rsid w:val="00B52EC2"/>
    <w:rsid w:val="00B53CD9"/>
    <w:rsid w:val="00B53DD1"/>
    <w:rsid w:val="00B547ED"/>
    <w:rsid w:val="00B54C4E"/>
    <w:rsid w:val="00B55563"/>
    <w:rsid w:val="00B55917"/>
    <w:rsid w:val="00B559E9"/>
    <w:rsid w:val="00B564AD"/>
    <w:rsid w:val="00B56CAF"/>
    <w:rsid w:val="00B60339"/>
    <w:rsid w:val="00B61B37"/>
    <w:rsid w:val="00B624FF"/>
    <w:rsid w:val="00B63232"/>
    <w:rsid w:val="00B63F32"/>
    <w:rsid w:val="00B64C66"/>
    <w:rsid w:val="00B65033"/>
    <w:rsid w:val="00B6514F"/>
    <w:rsid w:val="00B657A5"/>
    <w:rsid w:val="00B66262"/>
    <w:rsid w:val="00B67084"/>
    <w:rsid w:val="00B6715E"/>
    <w:rsid w:val="00B675F3"/>
    <w:rsid w:val="00B70ADE"/>
    <w:rsid w:val="00B70B36"/>
    <w:rsid w:val="00B70E50"/>
    <w:rsid w:val="00B7165B"/>
    <w:rsid w:val="00B726B4"/>
    <w:rsid w:val="00B736DD"/>
    <w:rsid w:val="00B74E78"/>
    <w:rsid w:val="00B74F16"/>
    <w:rsid w:val="00B76F3F"/>
    <w:rsid w:val="00B7708E"/>
    <w:rsid w:val="00B770ED"/>
    <w:rsid w:val="00B81B28"/>
    <w:rsid w:val="00B82001"/>
    <w:rsid w:val="00B822DA"/>
    <w:rsid w:val="00B8267C"/>
    <w:rsid w:val="00B82D71"/>
    <w:rsid w:val="00B8384E"/>
    <w:rsid w:val="00B83F57"/>
    <w:rsid w:val="00B84550"/>
    <w:rsid w:val="00B84C99"/>
    <w:rsid w:val="00B86DA1"/>
    <w:rsid w:val="00B87182"/>
    <w:rsid w:val="00B87C3E"/>
    <w:rsid w:val="00B91157"/>
    <w:rsid w:val="00B91C21"/>
    <w:rsid w:val="00B921AF"/>
    <w:rsid w:val="00B92318"/>
    <w:rsid w:val="00B92F0D"/>
    <w:rsid w:val="00B92F17"/>
    <w:rsid w:val="00B93381"/>
    <w:rsid w:val="00B94075"/>
    <w:rsid w:val="00B9455D"/>
    <w:rsid w:val="00B949D0"/>
    <w:rsid w:val="00B955A4"/>
    <w:rsid w:val="00B95A75"/>
    <w:rsid w:val="00B95DAB"/>
    <w:rsid w:val="00B961AA"/>
    <w:rsid w:val="00B96FC4"/>
    <w:rsid w:val="00B970C3"/>
    <w:rsid w:val="00B9713D"/>
    <w:rsid w:val="00B978AA"/>
    <w:rsid w:val="00B97C47"/>
    <w:rsid w:val="00BA086F"/>
    <w:rsid w:val="00BA0FC7"/>
    <w:rsid w:val="00BA18CE"/>
    <w:rsid w:val="00BA18DB"/>
    <w:rsid w:val="00BA1BC9"/>
    <w:rsid w:val="00BA1FE4"/>
    <w:rsid w:val="00BA2125"/>
    <w:rsid w:val="00BA2340"/>
    <w:rsid w:val="00BA2FD4"/>
    <w:rsid w:val="00BA305C"/>
    <w:rsid w:val="00BA307C"/>
    <w:rsid w:val="00BA32E8"/>
    <w:rsid w:val="00BA46F8"/>
    <w:rsid w:val="00BA49F8"/>
    <w:rsid w:val="00BA4BE4"/>
    <w:rsid w:val="00BA4E73"/>
    <w:rsid w:val="00BA586B"/>
    <w:rsid w:val="00BA6D41"/>
    <w:rsid w:val="00BA7114"/>
    <w:rsid w:val="00BA711A"/>
    <w:rsid w:val="00BA71B1"/>
    <w:rsid w:val="00BB02C5"/>
    <w:rsid w:val="00BB127E"/>
    <w:rsid w:val="00BB129D"/>
    <w:rsid w:val="00BB14CE"/>
    <w:rsid w:val="00BB1CDA"/>
    <w:rsid w:val="00BB269A"/>
    <w:rsid w:val="00BB28D1"/>
    <w:rsid w:val="00BB2979"/>
    <w:rsid w:val="00BB2E24"/>
    <w:rsid w:val="00BB303B"/>
    <w:rsid w:val="00BB331F"/>
    <w:rsid w:val="00BB3E12"/>
    <w:rsid w:val="00BB47F6"/>
    <w:rsid w:val="00BB6200"/>
    <w:rsid w:val="00BB7948"/>
    <w:rsid w:val="00BC06DE"/>
    <w:rsid w:val="00BC0E34"/>
    <w:rsid w:val="00BC24DB"/>
    <w:rsid w:val="00BC29D6"/>
    <w:rsid w:val="00BC411B"/>
    <w:rsid w:val="00BC4860"/>
    <w:rsid w:val="00BC628B"/>
    <w:rsid w:val="00BC67C1"/>
    <w:rsid w:val="00BC6EEA"/>
    <w:rsid w:val="00BC7F05"/>
    <w:rsid w:val="00BD0931"/>
    <w:rsid w:val="00BD0A27"/>
    <w:rsid w:val="00BD0AE2"/>
    <w:rsid w:val="00BD14A1"/>
    <w:rsid w:val="00BD26B1"/>
    <w:rsid w:val="00BD2E4E"/>
    <w:rsid w:val="00BD3801"/>
    <w:rsid w:val="00BD4584"/>
    <w:rsid w:val="00BD47DD"/>
    <w:rsid w:val="00BD5877"/>
    <w:rsid w:val="00BD6CFD"/>
    <w:rsid w:val="00BD7CB0"/>
    <w:rsid w:val="00BE034B"/>
    <w:rsid w:val="00BE0D9F"/>
    <w:rsid w:val="00BE0DDC"/>
    <w:rsid w:val="00BE1F56"/>
    <w:rsid w:val="00BE3008"/>
    <w:rsid w:val="00BE3860"/>
    <w:rsid w:val="00BE3EAA"/>
    <w:rsid w:val="00BE5BB4"/>
    <w:rsid w:val="00BE5DEA"/>
    <w:rsid w:val="00BE617A"/>
    <w:rsid w:val="00BE6757"/>
    <w:rsid w:val="00BE6FE8"/>
    <w:rsid w:val="00BF04A2"/>
    <w:rsid w:val="00BF0E15"/>
    <w:rsid w:val="00BF1D40"/>
    <w:rsid w:val="00BF1FA4"/>
    <w:rsid w:val="00BF1FB5"/>
    <w:rsid w:val="00BF27F9"/>
    <w:rsid w:val="00BF3CE8"/>
    <w:rsid w:val="00BF644E"/>
    <w:rsid w:val="00C0051F"/>
    <w:rsid w:val="00C00C38"/>
    <w:rsid w:val="00C00D43"/>
    <w:rsid w:val="00C015D8"/>
    <w:rsid w:val="00C01D6A"/>
    <w:rsid w:val="00C02BA7"/>
    <w:rsid w:val="00C02CBD"/>
    <w:rsid w:val="00C057D2"/>
    <w:rsid w:val="00C06FD1"/>
    <w:rsid w:val="00C07147"/>
    <w:rsid w:val="00C07264"/>
    <w:rsid w:val="00C078ED"/>
    <w:rsid w:val="00C102C7"/>
    <w:rsid w:val="00C106F8"/>
    <w:rsid w:val="00C108A3"/>
    <w:rsid w:val="00C11C82"/>
    <w:rsid w:val="00C11FEF"/>
    <w:rsid w:val="00C1204A"/>
    <w:rsid w:val="00C121D1"/>
    <w:rsid w:val="00C12306"/>
    <w:rsid w:val="00C13D13"/>
    <w:rsid w:val="00C13E12"/>
    <w:rsid w:val="00C13F26"/>
    <w:rsid w:val="00C14196"/>
    <w:rsid w:val="00C1441B"/>
    <w:rsid w:val="00C151B8"/>
    <w:rsid w:val="00C15563"/>
    <w:rsid w:val="00C1600B"/>
    <w:rsid w:val="00C16DA8"/>
    <w:rsid w:val="00C17002"/>
    <w:rsid w:val="00C173AC"/>
    <w:rsid w:val="00C1769C"/>
    <w:rsid w:val="00C20AA2"/>
    <w:rsid w:val="00C21D66"/>
    <w:rsid w:val="00C22F94"/>
    <w:rsid w:val="00C238B2"/>
    <w:rsid w:val="00C23C86"/>
    <w:rsid w:val="00C25967"/>
    <w:rsid w:val="00C260C8"/>
    <w:rsid w:val="00C263BE"/>
    <w:rsid w:val="00C26A25"/>
    <w:rsid w:val="00C31060"/>
    <w:rsid w:val="00C31C22"/>
    <w:rsid w:val="00C325D3"/>
    <w:rsid w:val="00C326ED"/>
    <w:rsid w:val="00C328AA"/>
    <w:rsid w:val="00C328EA"/>
    <w:rsid w:val="00C3300B"/>
    <w:rsid w:val="00C33D64"/>
    <w:rsid w:val="00C349FD"/>
    <w:rsid w:val="00C34F15"/>
    <w:rsid w:val="00C354DB"/>
    <w:rsid w:val="00C3616F"/>
    <w:rsid w:val="00C362DB"/>
    <w:rsid w:val="00C37531"/>
    <w:rsid w:val="00C378DD"/>
    <w:rsid w:val="00C40634"/>
    <w:rsid w:val="00C411F4"/>
    <w:rsid w:val="00C414D1"/>
    <w:rsid w:val="00C42870"/>
    <w:rsid w:val="00C442FB"/>
    <w:rsid w:val="00C45784"/>
    <w:rsid w:val="00C45F3B"/>
    <w:rsid w:val="00C46F15"/>
    <w:rsid w:val="00C4736E"/>
    <w:rsid w:val="00C47C99"/>
    <w:rsid w:val="00C507EE"/>
    <w:rsid w:val="00C5174E"/>
    <w:rsid w:val="00C51D6B"/>
    <w:rsid w:val="00C524F0"/>
    <w:rsid w:val="00C52B10"/>
    <w:rsid w:val="00C5364C"/>
    <w:rsid w:val="00C546CD"/>
    <w:rsid w:val="00C55298"/>
    <w:rsid w:val="00C5551D"/>
    <w:rsid w:val="00C56DD7"/>
    <w:rsid w:val="00C60BF4"/>
    <w:rsid w:val="00C60C53"/>
    <w:rsid w:val="00C617BC"/>
    <w:rsid w:val="00C61D70"/>
    <w:rsid w:val="00C625D9"/>
    <w:rsid w:val="00C627C4"/>
    <w:rsid w:val="00C637F6"/>
    <w:rsid w:val="00C64A03"/>
    <w:rsid w:val="00C64DEE"/>
    <w:rsid w:val="00C66114"/>
    <w:rsid w:val="00C66320"/>
    <w:rsid w:val="00C676D9"/>
    <w:rsid w:val="00C70F2E"/>
    <w:rsid w:val="00C71308"/>
    <w:rsid w:val="00C714F4"/>
    <w:rsid w:val="00C71D09"/>
    <w:rsid w:val="00C7255A"/>
    <w:rsid w:val="00C72DCF"/>
    <w:rsid w:val="00C72F7D"/>
    <w:rsid w:val="00C749D2"/>
    <w:rsid w:val="00C750ED"/>
    <w:rsid w:val="00C75101"/>
    <w:rsid w:val="00C752E1"/>
    <w:rsid w:val="00C754E2"/>
    <w:rsid w:val="00C766D0"/>
    <w:rsid w:val="00C768CE"/>
    <w:rsid w:val="00C76AD7"/>
    <w:rsid w:val="00C773AB"/>
    <w:rsid w:val="00C81F1C"/>
    <w:rsid w:val="00C81F2A"/>
    <w:rsid w:val="00C82B13"/>
    <w:rsid w:val="00C82BED"/>
    <w:rsid w:val="00C82BF5"/>
    <w:rsid w:val="00C82ECD"/>
    <w:rsid w:val="00C83962"/>
    <w:rsid w:val="00C84041"/>
    <w:rsid w:val="00C84E84"/>
    <w:rsid w:val="00C862C3"/>
    <w:rsid w:val="00C86C12"/>
    <w:rsid w:val="00C87158"/>
    <w:rsid w:val="00C919D7"/>
    <w:rsid w:val="00C924EA"/>
    <w:rsid w:val="00C93B8D"/>
    <w:rsid w:val="00C94938"/>
    <w:rsid w:val="00C94C46"/>
    <w:rsid w:val="00C95119"/>
    <w:rsid w:val="00C95461"/>
    <w:rsid w:val="00C95996"/>
    <w:rsid w:val="00C960AC"/>
    <w:rsid w:val="00C9664F"/>
    <w:rsid w:val="00C97129"/>
    <w:rsid w:val="00C973D8"/>
    <w:rsid w:val="00C97429"/>
    <w:rsid w:val="00C97496"/>
    <w:rsid w:val="00C97500"/>
    <w:rsid w:val="00C97A4D"/>
    <w:rsid w:val="00CA04D3"/>
    <w:rsid w:val="00CA1385"/>
    <w:rsid w:val="00CA16AC"/>
    <w:rsid w:val="00CA1A59"/>
    <w:rsid w:val="00CA1A6E"/>
    <w:rsid w:val="00CA1DD5"/>
    <w:rsid w:val="00CA1F73"/>
    <w:rsid w:val="00CA2C2A"/>
    <w:rsid w:val="00CA2D36"/>
    <w:rsid w:val="00CA3C2D"/>
    <w:rsid w:val="00CA3EAC"/>
    <w:rsid w:val="00CA5379"/>
    <w:rsid w:val="00CA63B1"/>
    <w:rsid w:val="00CA6A8E"/>
    <w:rsid w:val="00CA6AA7"/>
    <w:rsid w:val="00CA6B3D"/>
    <w:rsid w:val="00CB01EA"/>
    <w:rsid w:val="00CB164C"/>
    <w:rsid w:val="00CB22BD"/>
    <w:rsid w:val="00CB2542"/>
    <w:rsid w:val="00CB2CD3"/>
    <w:rsid w:val="00CB3228"/>
    <w:rsid w:val="00CB3C5E"/>
    <w:rsid w:val="00CB3CD1"/>
    <w:rsid w:val="00CB3F3C"/>
    <w:rsid w:val="00CB4E15"/>
    <w:rsid w:val="00CB6191"/>
    <w:rsid w:val="00CB61A0"/>
    <w:rsid w:val="00CB6240"/>
    <w:rsid w:val="00CB65EF"/>
    <w:rsid w:val="00CB6C5D"/>
    <w:rsid w:val="00CB7435"/>
    <w:rsid w:val="00CB7A0B"/>
    <w:rsid w:val="00CC063A"/>
    <w:rsid w:val="00CC106E"/>
    <w:rsid w:val="00CC19E9"/>
    <w:rsid w:val="00CC1A29"/>
    <w:rsid w:val="00CC1BD2"/>
    <w:rsid w:val="00CC2133"/>
    <w:rsid w:val="00CC24ED"/>
    <w:rsid w:val="00CC260D"/>
    <w:rsid w:val="00CC2DBF"/>
    <w:rsid w:val="00CC33FE"/>
    <w:rsid w:val="00CC422D"/>
    <w:rsid w:val="00CC4B3E"/>
    <w:rsid w:val="00CC4F57"/>
    <w:rsid w:val="00CC5018"/>
    <w:rsid w:val="00CC5A5A"/>
    <w:rsid w:val="00CC5D49"/>
    <w:rsid w:val="00CC60BD"/>
    <w:rsid w:val="00CC67A2"/>
    <w:rsid w:val="00CC73FD"/>
    <w:rsid w:val="00CC7882"/>
    <w:rsid w:val="00CC7DCF"/>
    <w:rsid w:val="00CD10CC"/>
    <w:rsid w:val="00CD15F5"/>
    <w:rsid w:val="00CD1851"/>
    <w:rsid w:val="00CD1889"/>
    <w:rsid w:val="00CD26C2"/>
    <w:rsid w:val="00CD2E42"/>
    <w:rsid w:val="00CD306D"/>
    <w:rsid w:val="00CD4239"/>
    <w:rsid w:val="00CD49EF"/>
    <w:rsid w:val="00CD4FEE"/>
    <w:rsid w:val="00CD51CC"/>
    <w:rsid w:val="00CD5E54"/>
    <w:rsid w:val="00CD6541"/>
    <w:rsid w:val="00CD711B"/>
    <w:rsid w:val="00CD792D"/>
    <w:rsid w:val="00CD79A4"/>
    <w:rsid w:val="00CD7F3C"/>
    <w:rsid w:val="00CE194D"/>
    <w:rsid w:val="00CE229B"/>
    <w:rsid w:val="00CE2F35"/>
    <w:rsid w:val="00CE3C41"/>
    <w:rsid w:val="00CE4517"/>
    <w:rsid w:val="00CE519C"/>
    <w:rsid w:val="00CE625A"/>
    <w:rsid w:val="00CE637C"/>
    <w:rsid w:val="00CE6621"/>
    <w:rsid w:val="00CE7497"/>
    <w:rsid w:val="00CF0092"/>
    <w:rsid w:val="00CF03F2"/>
    <w:rsid w:val="00CF0B79"/>
    <w:rsid w:val="00CF131A"/>
    <w:rsid w:val="00CF19B0"/>
    <w:rsid w:val="00CF1AFF"/>
    <w:rsid w:val="00CF1BAA"/>
    <w:rsid w:val="00CF1C0F"/>
    <w:rsid w:val="00CF1DC7"/>
    <w:rsid w:val="00CF1F2A"/>
    <w:rsid w:val="00CF264A"/>
    <w:rsid w:val="00CF31D8"/>
    <w:rsid w:val="00CF336B"/>
    <w:rsid w:val="00CF3394"/>
    <w:rsid w:val="00CF3400"/>
    <w:rsid w:val="00CF3E3F"/>
    <w:rsid w:val="00CF4064"/>
    <w:rsid w:val="00CF419D"/>
    <w:rsid w:val="00CF4DEB"/>
    <w:rsid w:val="00CF6C90"/>
    <w:rsid w:val="00CF7722"/>
    <w:rsid w:val="00CF79D5"/>
    <w:rsid w:val="00D00901"/>
    <w:rsid w:val="00D02CE3"/>
    <w:rsid w:val="00D02F99"/>
    <w:rsid w:val="00D049B9"/>
    <w:rsid w:val="00D04F84"/>
    <w:rsid w:val="00D05E67"/>
    <w:rsid w:val="00D060BF"/>
    <w:rsid w:val="00D07E9D"/>
    <w:rsid w:val="00D100F4"/>
    <w:rsid w:val="00D10995"/>
    <w:rsid w:val="00D115F1"/>
    <w:rsid w:val="00D1162D"/>
    <w:rsid w:val="00D1238B"/>
    <w:rsid w:val="00D1256D"/>
    <w:rsid w:val="00D127DD"/>
    <w:rsid w:val="00D128A7"/>
    <w:rsid w:val="00D12F91"/>
    <w:rsid w:val="00D131DA"/>
    <w:rsid w:val="00D13844"/>
    <w:rsid w:val="00D13F52"/>
    <w:rsid w:val="00D14235"/>
    <w:rsid w:val="00D14E08"/>
    <w:rsid w:val="00D158D0"/>
    <w:rsid w:val="00D15B1C"/>
    <w:rsid w:val="00D15F31"/>
    <w:rsid w:val="00D1627C"/>
    <w:rsid w:val="00D16582"/>
    <w:rsid w:val="00D20268"/>
    <w:rsid w:val="00D20A57"/>
    <w:rsid w:val="00D22EF8"/>
    <w:rsid w:val="00D235B1"/>
    <w:rsid w:val="00D239F8"/>
    <w:rsid w:val="00D25185"/>
    <w:rsid w:val="00D25856"/>
    <w:rsid w:val="00D25E50"/>
    <w:rsid w:val="00D275A4"/>
    <w:rsid w:val="00D27B03"/>
    <w:rsid w:val="00D30906"/>
    <w:rsid w:val="00D3188F"/>
    <w:rsid w:val="00D32ECA"/>
    <w:rsid w:val="00D33A3D"/>
    <w:rsid w:val="00D34A56"/>
    <w:rsid w:val="00D34BBE"/>
    <w:rsid w:val="00D3646E"/>
    <w:rsid w:val="00D37315"/>
    <w:rsid w:val="00D37A8D"/>
    <w:rsid w:val="00D37DBA"/>
    <w:rsid w:val="00D404FB"/>
    <w:rsid w:val="00D40C97"/>
    <w:rsid w:val="00D4110D"/>
    <w:rsid w:val="00D415E6"/>
    <w:rsid w:val="00D41886"/>
    <w:rsid w:val="00D41C6F"/>
    <w:rsid w:val="00D42599"/>
    <w:rsid w:val="00D4286A"/>
    <w:rsid w:val="00D44925"/>
    <w:rsid w:val="00D450EB"/>
    <w:rsid w:val="00D4618D"/>
    <w:rsid w:val="00D46940"/>
    <w:rsid w:val="00D46E16"/>
    <w:rsid w:val="00D47167"/>
    <w:rsid w:val="00D474B7"/>
    <w:rsid w:val="00D478B3"/>
    <w:rsid w:val="00D47A29"/>
    <w:rsid w:val="00D50691"/>
    <w:rsid w:val="00D51451"/>
    <w:rsid w:val="00D51658"/>
    <w:rsid w:val="00D52614"/>
    <w:rsid w:val="00D5325B"/>
    <w:rsid w:val="00D5347B"/>
    <w:rsid w:val="00D53DCB"/>
    <w:rsid w:val="00D54969"/>
    <w:rsid w:val="00D55013"/>
    <w:rsid w:val="00D55098"/>
    <w:rsid w:val="00D55809"/>
    <w:rsid w:val="00D55D6D"/>
    <w:rsid w:val="00D567D1"/>
    <w:rsid w:val="00D57242"/>
    <w:rsid w:val="00D57337"/>
    <w:rsid w:val="00D57F86"/>
    <w:rsid w:val="00D602C5"/>
    <w:rsid w:val="00D614C3"/>
    <w:rsid w:val="00D62A1D"/>
    <w:rsid w:val="00D6370D"/>
    <w:rsid w:val="00D6449B"/>
    <w:rsid w:val="00D649D0"/>
    <w:rsid w:val="00D64C76"/>
    <w:rsid w:val="00D64D60"/>
    <w:rsid w:val="00D65356"/>
    <w:rsid w:val="00D67274"/>
    <w:rsid w:val="00D70B0B"/>
    <w:rsid w:val="00D7100D"/>
    <w:rsid w:val="00D71366"/>
    <w:rsid w:val="00D713AB"/>
    <w:rsid w:val="00D715F3"/>
    <w:rsid w:val="00D716E1"/>
    <w:rsid w:val="00D7196F"/>
    <w:rsid w:val="00D71FED"/>
    <w:rsid w:val="00D722D0"/>
    <w:rsid w:val="00D725ED"/>
    <w:rsid w:val="00D749AF"/>
    <w:rsid w:val="00D74B6E"/>
    <w:rsid w:val="00D751AB"/>
    <w:rsid w:val="00D76689"/>
    <w:rsid w:val="00D76910"/>
    <w:rsid w:val="00D77141"/>
    <w:rsid w:val="00D778F4"/>
    <w:rsid w:val="00D77A5D"/>
    <w:rsid w:val="00D77CA7"/>
    <w:rsid w:val="00D820FD"/>
    <w:rsid w:val="00D82C23"/>
    <w:rsid w:val="00D82D20"/>
    <w:rsid w:val="00D83B66"/>
    <w:rsid w:val="00D85446"/>
    <w:rsid w:val="00D85C39"/>
    <w:rsid w:val="00D86272"/>
    <w:rsid w:val="00D86D8A"/>
    <w:rsid w:val="00D90216"/>
    <w:rsid w:val="00D92776"/>
    <w:rsid w:val="00D92BE9"/>
    <w:rsid w:val="00D9319D"/>
    <w:rsid w:val="00D93362"/>
    <w:rsid w:val="00D938AB"/>
    <w:rsid w:val="00D93AFC"/>
    <w:rsid w:val="00D946E3"/>
    <w:rsid w:val="00D94949"/>
    <w:rsid w:val="00D96415"/>
    <w:rsid w:val="00D97DAF"/>
    <w:rsid w:val="00DA0128"/>
    <w:rsid w:val="00DA0901"/>
    <w:rsid w:val="00DA0C78"/>
    <w:rsid w:val="00DA281E"/>
    <w:rsid w:val="00DA34C2"/>
    <w:rsid w:val="00DA354F"/>
    <w:rsid w:val="00DA4CF4"/>
    <w:rsid w:val="00DA5484"/>
    <w:rsid w:val="00DA5605"/>
    <w:rsid w:val="00DA5AAB"/>
    <w:rsid w:val="00DA5F37"/>
    <w:rsid w:val="00DA7686"/>
    <w:rsid w:val="00DA7AF3"/>
    <w:rsid w:val="00DA7F32"/>
    <w:rsid w:val="00DB2061"/>
    <w:rsid w:val="00DB227A"/>
    <w:rsid w:val="00DB26F1"/>
    <w:rsid w:val="00DB3009"/>
    <w:rsid w:val="00DB310D"/>
    <w:rsid w:val="00DB443D"/>
    <w:rsid w:val="00DB4C68"/>
    <w:rsid w:val="00DB4DD5"/>
    <w:rsid w:val="00DB56CA"/>
    <w:rsid w:val="00DC0374"/>
    <w:rsid w:val="00DC1096"/>
    <w:rsid w:val="00DC237C"/>
    <w:rsid w:val="00DC24B9"/>
    <w:rsid w:val="00DC2554"/>
    <w:rsid w:val="00DC2E5D"/>
    <w:rsid w:val="00DC3633"/>
    <w:rsid w:val="00DC3A7A"/>
    <w:rsid w:val="00DC3BDB"/>
    <w:rsid w:val="00DC41F0"/>
    <w:rsid w:val="00DC49B0"/>
    <w:rsid w:val="00DC58BC"/>
    <w:rsid w:val="00DC6422"/>
    <w:rsid w:val="00DC6B65"/>
    <w:rsid w:val="00DC6DCF"/>
    <w:rsid w:val="00DC70EC"/>
    <w:rsid w:val="00DD1760"/>
    <w:rsid w:val="00DD1CE8"/>
    <w:rsid w:val="00DD2441"/>
    <w:rsid w:val="00DD2996"/>
    <w:rsid w:val="00DD2DBF"/>
    <w:rsid w:val="00DD308D"/>
    <w:rsid w:val="00DD31D5"/>
    <w:rsid w:val="00DD67C4"/>
    <w:rsid w:val="00DD6C97"/>
    <w:rsid w:val="00DD756B"/>
    <w:rsid w:val="00DE0A88"/>
    <w:rsid w:val="00DE1E1F"/>
    <w:rsid w:val="00DE2F6F"/>
    <w:rsid w:val="00DE4112"/>
    <w:rsid w:val="00DE4C1E"/>
    <w:rsid w:val="00DE6F51"/>
    <w:rsid w:val="00DE73ED"/>
    <w:rsid w:val="00DE76E4"/>
    <w:rsid w:val="00DE7D68"/>
    <w:rsid w:val="00DF0A50"/>
    <w:rsid w:val="00DF0B84"/>
    <w:rsid w:val="00DF0BD6"/>
    <w:rsid w:val="00DF0C34"/>
    <w:rsid w:val="00DF1854"/>
    <w:rsid w:val="00DF2D58"/>
    <w:rsid w:val="00DF4326"/>
    <w:rsid w:val="00DF4743"/>
    <w:rsid w:val="00DF49A9"/>
    <w:rsid w:val="00DF4A09"/>
    <w:rsid w:val="00DF4B8D"/>
    <w:rsid w:val="00DF609B"/>
    <w:rsid w:val="00DF6167"/>
    <w:rsid w:val="00DF77FE"/>
    <w:rsid w:val="00E0029F"/>
    <w:rsid w:val="00E004C4"/>
    <w:rsid w:val="00E00A4C"/>
    <w:rsid w:val="00E00DFC"/>
    <w:rsid w:val="00E00F0C"/>
    <w:rsid w:val="00E00F1F"/>
    <w:rsid w:val="00E017D4"/>
    <w:rsid w:val="00E01FE9"/>
    <w:rsid w:val="00E02DBA"/>
    <w:rsid w:val="00E02FB8"/>
    <w:rsid w:val="00E03591"/>
    <w:rsid w:val="00E05814"/>
    <w:rsid w:val="00E05D11"/>
    <w:rsid w:val="00E0643B"/>
    <w:rsid w:val="00E071E0"/>
    <w:rsid w:val="00E07582"/>
    <w:rsid w:val="00E07A2C"/>
    <w:rsid w:val="00E1018B"/>
    <w:rsid w:val="00E10AC4"/>
    <w:rsid w:val="00E10D06"/>
    <w:rsid w:val="00E10EA3"/>
    <w:rsid w:val="00E11B88"/>
    <w:rsid w:val="00E12C9B"/>
    <w:rsid w:val="00E12F21"/>
    <w:rsid w:val="00E132A4"/>
    <w:rsid w:val="00E1346A"/>
    <w:rsid w:val="00E13AD5"/>
    <w:rsid w:val="00E1463C"/>
    <w:rsid w:val="00E1566C"/>
    <w:rsid w:val="00E15D7E"/>
    <w:rsid w:val="00E1619C"/>
    <w:rsid w:val="00E16745"/>
    <w:rsid w:val="00E16DB4"/>
    <w:rsid w:val="00E173C0"/>
    <w:rsid w:val="00E173E8"/>
    <w:rsid w:val="00E17547"/>
    <w:rsid w:val="00E20801"/>
    <w:rsid w:val="00E21574"/>
    <w:rsid w:val="00E216B5"/>
    <w:rsid w:val="00E21A8A"/>
    <w:rsid w:val="00E21ECC"/>
    <w:rsid w:val="00E22076"/>
    <w:rsid w:val="00E22281"/>
    <w:rsid w:val="00E222EE"/>
    <w:rsid w:val="00E226A6"/>
    <w:rsid w:val="00E22A4F"/>
    <w:rsid w:val="00E22DBB"/>
    <w:rsid w:val="00E2328D"/>
    <w:rsid w:val="00E23296"/>
    <w:rsid w:val="00E23547"/>
    <w:rsid w:val="00E2421A"/>
    <w:rsid w:val="00E245F2"/>
    <w:rsid w:val="00E25494"/>
    <w:rsid w:val="00E25671"/>
    <w:rsid w:val="00E265E3"/>
    <w:rsid w:val="00E274FA"/>
    <w:rsid w:val="00E3111C"/>
    <w:rsid w:val="00E31455"/>
    <w:rsid w:val="00E31FE8"/>
    <w:rsid w:val="00E32151"/>
    <w:rsid w:val="00E32162"/>
    <w:rsid w:val="00E32567"/>
    <w:rsid w:val="00E3277C"/>
    <w:rsid w:val="00E329CC"/>
    <w:rsid w:val="00E32A19"/>
    <w:rsid w:val="00E32E04"/>
    <w:rsid w:val="00E33BE6"/>
    <w:rsid w:val="00E340DE"/>
    <w:rsid w:val="00E3474F"/>
    <w:rsid w:val="00E347E9"/>
    <w:rsid w:val="00E34B61"/>
    <w:rsid w:val="00E35438"/>
    <w:rsid w:val="00E35B7B"/>
    <w:rsid w:val="00E36D6D"/>
    <w:rsid w:val="00E37093"/>
    <w:rsid w:val="00E40CF6"/>
    <w:rsid w:val="00E41578"/>
    <w:rsid w:val="00E4193E"/>
    <w:rsid w:val="00E41A81"/>
    <w:rsid w:val="00E42B6E"/>
    <w:rsid w:val="00E440E2"/>
    <w:rsid w:val="00E44395"/>
    <w:rsid w:val="00E456D7"/>
    <w:rsid w:val="00E4576E"/>
    <w:rsid w:val="00E45DEC"/>
    <w:rsid w:val="00E4616E"/>
    <w:rsid w:val="00E46713"/>
    <w:rsid w:val="00E46A76"/>
    <w:rsid w:val="00E4753B"/>
    <w:rsid w:val="00E516F7"/>
    <w:rsid w:val="00E5179A"/>
    <w:rsid w:val="00E51817"/>
    <w:rsid w:val="00E5219E"/>
    <w:rsid w:val="00E53276"/>
    <w:rsid w:val="00E53C46"/>
    <w:rsid w:val="00E53D70"/>
    <w:rsid w:val="00E53EAC"/>
    <w:rsid w:val="00E541C7"/>
    <w:rsid w:val="00E546FE"/>
    <w:rsid w:val="00E54B55"/>
    <w:rsid w:val="00E55837"/>
    <w:rsid w:val="00E55BFF"/>
    <w:rsid w:val="00E56D34"/>
    <w:rsid w:val="00E57693"/>
    <w:rsid w:val="00E60EBB"/>
    <w:rsid w:val="00E6153D"/>
    <w:rsid w:val="00E615D5"/>
    <w:rsid w:val="00E622D6"/>
    <w:rsid w:val="00E626CF"/>
    <w:rsid w:val="00E62C17"/>
    <w:rsid w:val="00E63527"/>
    <w:rsid w:val="00E63FBF"/>
    <w:rsid w:val="00E64049"/>
    <w:rsid w:val="00E64753"/>
    <w:rsid w:val="00E64E70"/>
    <w:rsid w:val="00E65AF9"/>
    <w:rsid w:val="00E66AB8"/>
    <w:rsid w:val="00E66BDC"/>
    <w:rsid w:val="00E677BB"/>
    <w:rsid w:val="00E67DDE"/>
    <w:rsid w:val="00E706A0"/>
    <w:rsid w:val="00E72DC7"/>
    <w:rsid w:val="00E7410F"/>
    <w:rsid w:val="00E7501C"/>
    <w:rsid w:val="00E7594C"/>
    <w:rsid w:val="00E7632E"/>
    <w:rsid w:val="00E76F42"/>
    <w:rsid w:val="00E8008B"/>
    <w:rsid w:val="00E80CCB"/>
    <w:rsid w:val="00E81622"/>
    <w:rsid w:val="00E81AD7"/>
    <w:rsid w:val="00E85580"/>
    <w:rsid w:val="00E85F9B"/>
    <w:rsid w:val="00E864E4"/>
    <w:rsid w:val="00E86865"/>
    <w:rsid w:val="00E86C0C"/>
    <w:rsid w:val="00E90659"/>
    <w:rsid w:val="00E91AA7"/>
    <w:rsid w:val="00E92261"/>
    <w:rsid w:val="00E932FF"/>
    <w:rsid w:val="00E93B95"/>
    <w:rsid w:val="00E9452C"/>
    <w:rsid w:val="00E94808"/>
    <w:rsid w:val="00E9487D"/>
    <w:rsid w:val="00E960AB"/>
    <w:rsid w:val="00E962B8"/>
    <w:rsid w:val="00E969C6"/>
    <w:rsid w:val="00E96A9B"/>
    <w:rsid w:val="00EA02BB"/>
    <w:rsid w:val="00EA0EF5"/>
    <w:rsid w:val="00EA152B"/>
    <w:rsid w:val="00EA2255"/>
    <w:rsid w:val="00EA3B29"/>
    <w:rsid w:val="00EA3D0B"/>
    <w:rsid w:val="00EA3F35"/>
    <w:rsid w:val="00EA40B2"/>
    <w:rsid w:val="00EA41F1"/>
    <w:rsid w:val="00EA7A47"/>
    <w:rsid w:val="00EB1FE6"/>
    <w:rsid w:val="00EB2414"/>
    <w:rsid w:val="00EB3151"/>
    <w:rsid w:val="00EB3FB3"/>
    <w:rsid w:val="00EB4B4E"/>
    <w:rsid w:val="00EB55E9"/>
    <w:rsid w:val="00EB5DED"/>
    <w:rsid w:val="00EB5FBC"/>
    <w:rsid w:val="00EB7423"/>
    <w:rsid w:val="00EB79AC"/>
    <w:rsid w:val="00EB7CAA"/>
    <w:rsid w:val="00EC03E6"/>
    <w:rsid w:val="00EC09EF"/>
    <w:rsid w:val="00EC109D"/>
    <w:rsid w:val="00EC3594"/>
    <w:rsid w:val="00EC44AC"/>
    <w:rsid w:val="00EC4E9F"/>
    <w:rsid w:val="00EC5793"/>
    <w:rsid w:val="00EC628E"/>
    <w:rsid w:val="00EC62B8"/>
    <w:rsid w:val="00ED013F"/>
    <w:rsid w:val="00ED0442"/>
    <w:rsid w:val="00ED0FDC"/>
    <w:rsid w:val="00ED1283"/>
    <w:rsid w:val="00ED158F"/>
    <w:rsid w:val="00ED1BCC"/>
    <w:rsid w:val="00ED1D0A"/>
    <w:rsid w:val="00ED269F"/>
    <w:rsid w:val="00ED277C"/>
    <w:rsid w:val="00ED36E9"/>
    <w:rsid w:val="00ED4C22"/>
    <w:rsid w:val="00ED50B2"/>
    <w:rsid w:val="00ED5415"/>
    <w:rsid w:val="00ED5A62"/>
    <w:rsid w:val="00ED677C"/>
    <w:rsid w:val="00EE0120"/>
    <w:rsid w:val="00EE172B"/>
    <w:rsid w:val="00EE185E"/>
    <w:rsid w:val="00EE1E0B"/>
    <w:rsid w:val="00EE215B"/>
    <w:rsid w:val="00EE2232"/>
    <w:rsid w:val="00EE2D02"/>
    <w:rsid w:val="00EE2F90"/>
    <w:rsid w:val="00EE3051"/>
    <w:rsid w:val="00EE34C7"/>
    <w:rsid w:val="00EE42E2"/>
    <w:rsid w:val="00EE42F0"/>
    <w:rsid w:val="00EE4CDF"/>
    <w:rsid w:val="00EE560F"/>
    <w:rsid w:val="00EE69D8"/>
    <w:rsid w:val="00EE6AA3"/>
    <w:rsid w:val="00EE6B1D"/>
    <w:rsid w:val="00EE7307"/>
    <w:rsid w:val="00EF018C"/>
    <w:rsid w:val="00EF1181"/>
    <w:rsid w:val="00EF348E"/>
    <w:rsid w:val="00EF3623"/>
    <w:rsid w:val="00EF3A36"/>
    <w:rsid w:val="00EF3E97"/>
    <w:rsid w:val="00EF411C"/>
    <w:rsid w:val="00EF4144"/>
    <w:rsid w:val="00EF5F40"/>
    <w:rsid w:val="00EF6520"/>
    <w:rsid w:val="00EF6937"/>
    <w:rsid w:val="00EF73DF"/>
    <w:rsid w:val="00F00389"/>
    <w:rsid w:val="00F00FD3"/>
    <w:rsid w:val="00F01383"/>
    <w:rsid w:val="00F01BA5"/>
    <w:rsid w:val="00F01FF7"/>
    <w:rsid w:val="00F03D5A"/>
    <w:rsid w:val="00F040D5"/>
    <w:rsid w:val="00F046F9"/>
    <w:rsid w:val="00F04704"/>
    <w:rsid w:val="00F0541C"/>
    <w:rsid w:val="00F05930"/>
    <w:rsid w:val="00F059EC"/>
    <w:rsid w:val="00F05F7B"/>
    <w:rsid w:val="00F060AA"/>
    <w:rsid w:val="00F0615A"/>
    <w:rsid w:val="00F06D27"/>
    <w:rsid w:val="00F07C91"/>
    <w:rsid w:val="00F07D98"/>
    <w:rsid w:val="00F07DC2"/>
    <w:rsid w:val="00F10DD9"/>
    <w:rsid w:val="00F12426"/>
    <w:rsid w:val="00F12BEF"/>
    <w:rsid w:val="00F12E23"/>
    <w:rsid w:val="00F140FA"/>
    <w:rsid w:val="00F15B9C"/>
    <w:rsid w:val="00F163BE"/>
    <w:rsid w:val="00F16BD6"/>
    <w:rsid w:val="00F1705E"/>
    <w:rsid w:val="00F17497"/>
    <w:rsid w:val="00F17865"/>
    <w:rsid w:val="00F179C9"/>
    <w:rsid w:val="00F17A66"/>
    <w:rsid w:val="00F17CD9"/>
    <w:rsid w:val="00F17CEF"/>
    <w:rsid w:val="00F20701"/>
    <w:rsid w:val="00F219C5"/>
    <w:rsid w:val="00F2285A"/>
    <w:rsid w:val="00F22D4A"/>
    <w:rsid w:val="00F239D1"/>
    <w:rsid w:val="00F23E9B"/>
    <w:rsid w:val="00F240B2"/>
    <w:rsid w:val="00F242F5"/>
    <w:rsid w:val="00F25123"/>
    <w:rsid w:val="00F25EA5"/>
    <w:rsid w:val="00F26951"/>
    <w:rsid w:val="00F26BA9"/>
    <w:rsid w:val="00F26BFC"/>
    <w:rsid w:val="00F26F0A"/>
    <w:rsid w:val="00F27145"/>
    <w:rsid w:val="00F31293"/>
    <w:rsid w:val="00F31DB9"/>
    <w:rsid w:val="00F32D54"/>
    <w:rsid w:val="00F330A2"/>
    <w:rsid w:val="00F34B22"/>
    <w:rsid w:val="00F35436"/>
    <w:rsid w:val="00F355DC"/>
    <w:rsid w:val="00F35ABC"/>
    <w:rsid w:val="00F35DF7"/>
    <w:rsid w:val="00F372E1"/>
    <w:rsid w:val="00F3775B"/>
    <w:rsid w:val="00F37D74"/>
    <w:rsid w:val="00F37ECA"/>
    <w:rsid w:val="00F4039C"/>
    <w:rsid w:val="00F406CF"/>
    <w:rsid w:val="00F40823"/>
    <w:rsid w:val="00F40AA6"/>
    <w:rsid w:val="00F40AC0"/>
    <w:rsid w:val="00F40AEC"/>
    <w:rsid w:val="00F40E8A"/>
    <w:rsid w:val="00F41529"/>
    <w:rsid w:val="00F42B43"/>
    <w:rsid w:val="00F42C4F"/>
    <w:rsid w:val="00F42D24"/>
    <w:rsid w:val="00F435B4"/>
    <w:rsid w:val="00F43C32"/>
    <w:rsid w:val="00F43F6B"/>
    <w:rsid w:val="00F44CBA"/>
    <w:rsid w:val="00F45626"/>
    <w:rsid w:val="00F4580B"/>
    <w:rsid w:val="00F461C7"/>
    <w:rsid w:val="00F4710C"/>
    <w:rsid w:val="00F47366"/>
    <w:rsid w:val="00F47B3C"/>
    <w:rsid w:val="00F50521"/>
    <w:rsid w:val="00F50E4C"/>
    <w:rsid w:val="00F50FCB"/>
    <w:rsid w:val="00F510B3"/>
    <w:rsid w:val="00F52A7D"/>
    <w:rsid w:val="00F52F82"/>
    <w:rsid w:val="00F5328F"/>
    <w:rsid w:val="00F536A3"/>
    <w:rsid w:val="00F53983"/>
    <w:rsid w:val="00F54C1E"/>
    <w:rsid w:val="00F55F38"/>
    <w:rsid w:val="00F5664A"/>
    <w:rsid w:val="00F56B36"/>
    <w:rsid w:val="00F56E86"/>
    <w:rsid w:val="00F57603"/>
    <w:rsid w:val="00F600E8"/>
    <w:rsid w:val="00F60370"/>
    <w:rsid w:val="00F606D0"/>
    <w:rsid w:val="00F60B88"/>
    <w:rsid w:val="00F61528"/>
    <w:rsid w:val="00F61726"/>
    <w:rsid w:val="00F61A0B"/>
    <w:rsid w:val="00F61C37"/>
    <w:rsid w:val="00F624AA"/>
    <w:rsid w:val="00F63703"/>
    <w:rsid w:val="00F6479A"/>
    <w:rsid w:val="00F65806"/>
    <w:rsid w:val="00F66FC8"/>
    <w:rsid w:val="00F6726F"/>
    <w:rsid w:val="00F67418"/>
    <w:rsid w:val="00F6791A"/>
    <w:rsid w:val="00F70896"/>
    <w:rsid w:val="00F70C7C"/>
    <w:rsid w:val="00F71029"/>
    <w:rsid w:val="00F714F9"/>
    <w:rsid w:val="00F7320B"/>
    <w:rsid w:val="00F732A5"/>
    <w:rsid w:val="00F7451D"/>
    <w:rsid w:val="00F74693"/>
    <w:rsid w:val="00F74B72"/>
    <w:rsid w:val="00F76836"/>
    <w:rsid w:val="00F77567"/>
    <w:rsid w:val="00F80316"/>
    <w:rsid w:val="00F80506"/>
    <w:rsid w:val="00F806DA"/>
    <w:rsid w:val="00F82EE2"/>
    <w:rsid w:val="00F833D9"/>
    <w:rsid w:val="00F84049"/>
    <w:rsid w:val="00F84D77"/>
    <w:rsid w:val="00F86AF6"/>
    <w:rsid w:val="00F8721A"/>
    <w:rsid w:val="00F9005E"/>
    <w:rsid w:val="00F90081"/>
    <w:rsid w:val="00F909A2"/>
    <w:rsid w:val="00F90E9C"/>
    <w:rsid w:val="00F9132D"/>
    <w:rsid w:val="00F91DE5"/>
    <w:rsid w:val="00F92B5F"/>
    <w:rsid w:val="00F92B82"/>
    <w:rsid w:val="00F935CE"/>
    <w:rsid w:val="00F9560B"/>
    <w:rsid w:val="00F9571A"/>
    <w:rsid w:val="00F95DF0"/>
    <w:rsid w:val="00F964FE"/>
    <w:rsid w:val="00F976CC"/>
    <w:rsid w:val="00FA0311"/>
    <w:rsid w:val="00FA124A"/>
    <w:rsid w:val="00FA16FC"/>
    <w:rsid w:val="00FA1740"/>
    <w:rsid w:val="00FA1CD6"/>
    <w:rsid w:val="00FA23A9"/>
    <w:rsid w:val="00FA314D"/>
    <w:rsid w:val="00FA33CF"/>
    <w:rsid w:val="00FA3491"/>
    <w:rsid w:val="00FA380F"/>
    <w:rsid w:val="00FA48BD"/>
    <w:rsid w:val="00FA4B69"/>
    <w:rsid w:val="00FA4BC1"/>
    <w:rsid w:val="00FA4CB7"/>
    <w:rsid w:val="00FA50A1"/>
    <w:rsid w:val="00FA5BDA"/>
    <w:rsid w:val="00FA5CF4"/>
    <w:rsid w:val="00FA5D85"/>
    <w:rsid w:val="00FA62B2"/>
    <w:rsid w:val="00FA6438"/>
    <w:rsid w:val="00FA7240"/>
    <w:rsid w:val="00FA7FEB"/>
    <w:rsid w:val="00FB1603"/>
    <w:rsid w:val="00FB30F8"/>
    <w:rsid w:val="00FB436A"/>
    <w:rsid w:val="00FB46B2"/>
    <w:rsid w:val="00FB54CD"/>
    <w:rsid w:val="00FB585D"/>
    <w:rsid w:val="00FB5924"/>
    <w:rsid w:val="00FB6265"/>
    <w:rsid w:val="00FB6944"/>
    <w:rsid w:val="00FB75F1"/>
    <w:rsid w:val="00FB7896"/>
    <w:rsid w:val="00FB7A7E"/>
    <w:rsid w:val="00FB7B0D"/>
    <w:rsid w:val="00FC16B7"/>
    <w:rsid w:val="00FC1A07"/>
    <w:rsid w:val="00FC1AAA"/>
    <w:rsid w:val="00FC1AF7"/>
    <w:rsid w:val="00FC2014"/>
    <w:rsid w:val="00FC20D2"/>
    <w:rsid w:val="00FC40B6"/>
    <w:rsid w:val="00FC4969"/>
    <w:rsid w:val="00FC567A"/>
    <w:rsid w:val="00FC6208"/>
    <w:rsid w:val="00FC67A0"/>
    <w:rsid w:val="00FC7023"/>
    <w:rsid w:val="00FD035E"/>
    <w:rsid w:val="00FD0475"/>
    <w:rsid w:val="00FD05E6"/>
    <w:rsid w:val="00FD0C3B"/>
    <w:rsid w:val="00FD144E"/>
    <w:rsid w:val="00FD169A"/>
    <w:rsid w:val="00FD1D1F"/>
    <w:rsid w:val="00FD2D92"/>
    <w:rsid w:val="00FD3315"/>
    <w:rsid w:val="00FD3D60"/>
    <w:rsid w:val="00FD46DE"/>
    <w:rsid w:val="00FD49C4"/>
    <w:rsid w:val="00FD49CC"/>
    <w:rsid w:val="00FD4B57"/>
    <w:rsid w:val="00FD4BEF"/>
    <w:rsid w:val="00FD4F23"/>
    <w:rsid w:val="00FD5501"/>
    <w:rsid w:val="00FD5BE2"/>
    <w:rsid w:val="00FD5EB5"/>
    <w:rsid w:val="00FD665C"/>
    <w:rsid w:val="00FD6B05"/>
    <w:rsid w:val="00FD737E"/>
    <w:rsid w:val="00FD7F7A"/>
    <w:rsid w:val="00FD7FFB"/>
    <w:rsid w:val="00FE0AEA"/>
    <w:rsid w:val="00FE1B65"/>
    <w:rsid w:val="00FE3519"/>
    <w:rsid w:val="00FE42FD"/>
    <w:rsid w:val="00FE437C"/>
    <w:rsid w:val="00FE450D"/>
    <w:rsid w:val="00FE687E"/>
    <w:rsid w:val="00FE7693"/>
    <w:rsid w:val="00FE7B12"/>
    <w:rsid w:val="00FF0B2C"/>
    <w:rsid w:val="00FF2F89"/>
    <w:rsid w:val="00FF300E"/>
    <w:rsid w:val="00FF43B3"/>
    <w:rsid w:val="00FF44B9"/>
    <w:rsid w:val="00FF47D3"/>
    <w:rsid w:val="00FF5544"/>
    <w:rsid w:val="00FF5870"/>
    <w:rsid w:val="00FF6FCD"/>
    <w:rsid w:val="00FF76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2A6D37D"/>
  <w15:docId w15:val="{5F4B64DC-FA6E-8C4D-9A8C-80E8695B8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F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1">
    <w:name w:val="heading 1"/>
    <w:basedOn w:val="Heading10"/>
    <w:next w:val="Normal"/>
    <w:link w:val="Heading1Char"/>
    <w:uiPriority w:val="9"/>
    <w:rsid w:val="007F21FE"/>
    <w:pPr>
      <w:keepNext/>
      <w:keepLines/>
      <w:spacing w:before="24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rsid w:val="0016481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006D6"/>
    <w:pPr>
      <w:keepNext/>
      <w:keepLines/>
      <w:spacing w:before="200" w:line="259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079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0">
    <w:name w:val="Heading1"/>
    <w:basedOn w:val="Normal"/>
    <w:link w:val="Heading1Char0"/>
    <w:qFormat/>
    <w:rsid w:val="009E0E38"/>
    <w:pPr>
      <w:spacing w:after="240"/>
      <w:outlineLvl w:val="0"/>
    </w:pPr>
    <w:rPr>
      <w:rFonts w:cs="AdvTT20abcef8.B"/>
      <w:b/>
      <w:color w:val="62B547"/>
      <w:sz w:val="44"/>
      <w:szCs w:val="44"/>
    </w:rPr>
  </w:style>
  <w:style w:type="character" w:customStyle="1" w:styleId="Heading1Char0">
    <w:name w:val="Heading1 Char"/>
    <w:basedOn w:val="DefaultParagraphFont"/>
    <w:link w:val="Heading10"/>
    <w:rsid w:val="009E0E38"/>
    <w:rPr>
      <w:rFonts w:ascii="Times New Roman" w:eastAsia="Times New Roman" w:hAnsi="Times New Roman" w:cs="AdvTT20abcef8.B"/>
      <w:b/>
      <w:color w:val="62B547"/>
      <w:sz w:val="44"/>
      <w:szCs w:val="4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7F21FE"/>
    <w:rPr>
      <w:rFonts w:asciiTheme="majorHAnsi" w:eastAsiaTheme="majorEastAsia" w:hAnsiTheme="majorHAnsi" w:cstheme="majorBidi"/>
      <w:b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6481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079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Heading20">
    <w:name w:val="Heading2"/>
    <w:basedOn w:val="Normal"/>
    <w:link w:val="Heading2Char0"/>
    <w:qFormat/>
    <w:rsid w:val="009F0BBB"/>
    <w:pPr>
      <w:autoSpaceDE w:val="0"/>
      <w:autoSpaceDN w:val="0"/>
      <w:adjustRightInd w:val="0"/>
      <w:spacing w:before="320" w:after="240"/>
      <w:outlineLvl w:val="1"/>
    </w:pPr>
    <w:rPr>
      <w:rFonts w:cs="AdvTT20abcef8.B"/>
      <w:b/>
      <w:color w:val="62B547"/>
    </w:rPr>
  </w:style>
  <w:style w:type="character" w:customStyle="1" w:styleId="Heading2Char0">
    <w:name w:val="Heading2 Char"/>
    <w:basedOn w:val="DefaultParagraphFont"/>
    <w:link w:val="Heading20"/>
    <w:rsid w:val="009F0BBB"/>
    <w:rPr>
      <w:rFonts w:ascii="Times New Roman" w:hAnsi="Times New Roman" w:cs="AdvTT20abcef8.B"/>
      <w:b/>
      <w:color w:val="62B547"/>
      <w:sz w:val="24"/>
      <w:szCs w:val="24"/>
    </w:rPr>
  </w:style>
  <w:style w:type="paragraph" w:customStyle="1" w:styleId="Heading30">
    <w:name w:val="Heading3"/>
    <w:basedOn w:val="Normal"/>
    <w:link w:val="Heading3Char0"/>
    <w:qFormat/>
    <w:rsid w:val="009F0BBB"/>
    <w:pPr>
      <w:spacing w:before="240" w:after="120"/>
      <w:outlineLvl w:val="2"/>
    </w:pPr>
    <w:rPr>
      <w:rFonts w:cs="AdvTT1a8a9c4a.BI"/>
      <w:i/>
      <w:color w:val="6EB559"/>
    </w:rPr>
  </w:style>
  <w:style w:type="character" w:customStyle="1" w:styleId="Heading3Char0">
    <w:name w:val="Heading3 Char"/>
    <w:basedOn w:val="DefaultParagraphFont"/>
    <w:link w:val="Heading30"/>
    <w:rsid w:val="009F0BBB"/>
    <w:rPr>
      <w:rFonts w:ascii="Times New Roman" w:hAnsi="Times New Roman" w:cs="AdvTT1a8a9c4a.BI"/>
      <w:i/>
      <w:color w:val="6EB559"/>
      <w:sz w:val="24"/>
    </w:rPr>
  </w:style>
  <w:style w:type="paragraph" w:customStyle="1" w:styleId="ChapterHeading">
    <w:name w:val="Chapter Heading"/>
    <w:basedOn w:val="Normal"/>
    <w:link w:val="ChapterHeadingChar"/>
    <w:qFormat/>
    <w:rsid w:val="005817D8"/>
    <w:pPr>
      <w:spacing w:after="120"/>
      <w:outlineLvl w:val="0"/>
    </w:pPr>
    <w:rPr>
      <w:rFonts w:cs="AdvTT247c4ade"/>
      <w:b/>
      <w:bCs/>
      <w:color w:val="62B547"/>
      <w:sz w:val="44"/>
      <w:szCs w:val="44"/>
    </w:rPr>
  </w:style>
  <w:style w:type="character" w:customStyle="1" w:styleId="ChapterHeadingChar">
    <w:name w:val="Chapter Heading Char"/>
    <w:basedOn w:val="DefaultParagraphFont"/>
    <w:link w:val="ChapterHeading"/>
    <w:rsid w:val="005817D8"/>
    <w:rPr>
      <w:rFonts w:ascii="Times New Roman" w:eastAsia="Times New Roman" w:hAnsi="Times New Roman" w:cs="AdvTT247c4ade"/>
      <w:b/>
      <w:bCs/>
      <w:color w:val="62B547"/>
      <w:sz w:val="44"/>
      <w:szCs w:val="44"/>
      <w:lang w:eastAsia="en-GB"/>
    </w:rPr>
  </w:style>
  <w:style w:type="paragraph" w:customStyle="1" w:styleId="Text">
    <w:name w:val="Text"/>
    <w:basedOn w:val="Normal"/>
    <w:link w:val="TextChar"/>
    <w:qFormat/>
    <w:rsid w:val="00C9664F"/>
    <w:pPr>
      <w:spacing w:after="120" w:line="360" w:lineRule="auto"/>
    </w:pPr>
    <w:rPr>
      <w:rFonts w:cs="AdvTTebabd7da"/>
      <w:color w:val="000000"/>
      <w:szCs w:val="20"/>
    </w:rPr>
  </w:style>
  <w:style w:type="character" w:customStyle="1" w:styleId="TextChar">
    <w:name w:val="Text Char"/>
    <w:basedOn w:val="DefaultParagraphFont"/>
    <w:link w:val="Text"/>
    <w:rsid w:val="00C9664F"/>
    <w:rPr>
      <w:rFonts w:ascii="Times New Roman" w:hAnsi="Times New Roman" w:cs="AdvTTebabd7da"/>
      <w:color w:val="000000"/>
      <w:sz w:val="24"/>
      <w:szCs w:val="20"/>
    </w:rPr>
  </w:style>
  <w:style w:type="paragraph" w:customStyle="1" w:styleId="Heading40">
    <w:name w:val="Heading4"/>
    <w:basedOn w:val="Text"/>
    <w:link w:val="Heading4Char0"/>
    <w:qFormat/>
    <w:rsid w:val="00FE687E"/>
    <w:pPr>
      <w:spacing w:line="240" w:lineRule="auto"/>
    </w:pPr>
    <w:rPr>
      <w:rFonts w:cs="AdvTT118e7927"/>
      <w:i/>
      <w:color w:val="60B542"/>
    </w:rPr>
  </w:style>
  <w:style w:type="character" w:customStyle="1" w:styleId="Heading4Char0">
    <w:name w:val="Heading4 Char"/>
    <w:basedOn w:val="TextChar"/>
    <w:link w:val="Heading40"/>
    <w:rsid w:val="00FE687E"/>
    <w:rPr>
      <w:rFonts w:ascii="Times New Roman" w:hAnsi="Times New Roman" w:cs="AdvTT118e7927"/>
      <w:i/>
      <w:color w:val="60B542"/>
      <w:sz w:val="24"/>
      <w:szCs w:val="20"/>
    </w:rPr>
  </w:style>
  <w:style w:type="paragraph" w:customStyle="1" w:styleId="Fignum">
    <w:name w:val="Fig num"/>
    <w:basedOn w:val="Figlegend"/>
    <w:link w:val="FignumChar"/>
    <w:qFormat/>
    <w:rsid w:val="00D25856"/>
    <w:rPr>
      <w:rFonts w:cs="AdvTT6c1def61.B"/>
      <w:caps/>
      <w:color w:val="62B547"/>
    </w:rPr>
  </w:style>
  <w:style w:type="paragraph" w:customStyle="1" w:styleId="Figlegend">
    <w:name w:val="Fig legend"/>
    <w:basedOn w:val="Text"/>
    <w:link w:val="FiglegendChar"/>
    <w:qFormat/>
    <w:rsid w:val="001A563F"/>
    <w:rPr>
      <w:rFonts w:cs="AdvTT118e7927"/>
      <w:sz w:val="17"/>
      <w:szCs w:val="17"/>
    </w:rPr>
  </w:style>
  <w:style w:type="character" w:customStyle="1" w:styleId="FiglegendChar">
    <w:name w:val="Fig legend Char"/>
    <w:basedOn w:val="TextChar"/>
    <w:link w:val="Figlegend"/>
    <w:rsid w:val="001A563F"/>
    <w:rPr>
      <w:rFonts w:ascii="Times New Roman" w:hAnsi="Times New Roman" w:cs="AdvTT118e7927"/>
      <w:color w:val="000000"/>
      <w:sz w:val="17"/>
      <w:szCs w:val="17"/>
    </w:rPr>
  </w:style>
  <w:style w:type="character" w:customStyle="1" w:styleId="FignumChar">
    <w:name w:val="Fig num Char"/>
    <w:basedOn w:val="TextChar"/>
    <w:link w:val="Fignum"/>
    <w:rsid w:val="00D25856"/>
    <w:rPr>
      <w:rFonts w:ascii="Times New Roman" w:hAnsi="Times New Roman" w:cs="AdvTT6c1def61.B"/>
      <w:caps/>
      <w:color w:val="62B547"/>
      <w:sz w:val="17"/>
      <w:szCs w:val="17"/>
    </w:rPr>
  </w:style>
  <w:style w:type="paragraph" w:customStyle="1" w:styleId="Figtext">
    <w:name w:val="Fig text"/>
    <w:basedOn w:val="Text"/>
    <w:link w:val="FigtextChar"/>
    <w:qFormat/>
    <w:rsid w:val="005E3059"/>
    <w:rPr>
      <w:sz w:val="17"/>
      <w:szCs w:val="17"/>
    </w:rPr>
  </w:style>
  <w:style w:type="character" w:customStyle="1" w:styleId="FigtextChar">
    <w:name w:val="Fig text Char"/>
    <w:basedOn w:val="TextChar"/>
    <w:link w:val="Figtext"/>
    <w:rsid w:val="005E3059"/>
    <w:rPr>
      <w:rFonts w:ascii="Times New Roman" w:hAnsi="Times New Roman" w:cs="AdvTTebabd7da"/>
      <w:color w:val="000000"/>
      <w:sz w:val="17"/>
      <w:szCs w:val="17"/>
    </w:rPr>
  </w:style>
  <w:style w:type="table" w:styleId="TableGrid">
    <w:name w:val="Table Grid"/>
    <w:basedOn w:val="TableNormal"/>
    <w:uiPriority w:val="39"/>
    <w:rsid w:val="003F14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A25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A250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A25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25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250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5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501"/>
    <w:rPr>
      <w:rFonts w:ascii="Segoe UI" w:hAnsi="Segoe UI" w:cs="Segoe UI"/>
      <w:sz w:val="18"/>
      <w:szCs w:val="18"/>
    </w:rPr>
  </w:style>
  <w:style w:type="paragraph" w:customStyle="1" w:styleId="Figtextbottom">
    <w:name w:val="Fig text bottom"/>
    <w:basedOn w:val="Figtext"/>
    <w:link w:val="FigtextbottomChar"/>
    <w:qFormat/>
    <w:rsid w:val="007770AB"/>
    <w:rPr>
      <w:color w:val="87C773"/>
    </w:rPr>
  </w:style>
  <w:style w:type="character" w:customStyle="1" w:styleId="FigtextbottomChar">
    <w:name w:val="Fig text bottom Char"/>
    <w:basedOn w:val="FigtextChar"/>
    <w:link w:val="Figtextbottom"/>
    <w:rsid w:val="007770AB"/>
    <w:rPr>
      <w:rFonts w:ascii="AdvTTebabd7da" w:eastAsia="Times New Roman" w:hAnsi="AdvTTebabd7da" w:cs="AdvTTebabd7da"/>
      <w:color w:val="87C773"/>
      <w:sz w:val="17"/>
      <w:szCs w:val="17"/>
    </w:rPr>
  </w:style>
  <w:style w:type="paragraph" w:styleId="Header">
    <w:name w:val="header"/>
    <w:basedOn w:val="Normal"/>
    <w:link w:val="HeaderChar"/>
    <w:uiPriority w:val="99"/>
    <w:unhideWhenUsed/>
    <w:rsid w:val="00CD2E4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2E42"/>
  </w:style>
  <w:style w:type="paragraph" w:styleId="Footer">
    <w:name w:val="footer"/>
    <w:basedOn w:val="Normal"/>
    <w:link w:val="FooterChar"/>
    <w:uiPriority w:val="99"/>
    <w:unhideWhenUsed/>
    <w:rsid w:val="00CD2E4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2E42"/>
  </w:style>
  <w:style w:type="paragraph" w:styleId="BodyText">
    <w:name w:val="Body Text"/>
    <w:basedOn w:val="Normal"/>
    <w:link w:val="BodyTextChar"/>
    <w:uiPriority w:val="99"/>
    <w:unhideWhenUsed/>
    <w:rsid w:val="005A215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5A2155"/>
    <w:rPr>
      <w:rFonts w:ascii="Calibri" w:eastAsiaTheme="minorEastAsia" w:hAnsi="Calibri" w:cs="Calibri"/>
      <w:sz w:val="24"/>
      <w:szCs w:val="28"/>
    </w:rPr>
  </w:style>
  <w:style w:type="paragraph" w:customStyle="1" w:styleId="References">
    <w:name w:val="References"/>
    <w:basedOn w:val="BodyText"/>
    <w:qFormat/>
    <w:rsid w:val="00E932FF"/>
    <w:pPr>
      <w:widowControl/>
      <w:tabs>
        <w:tab w:val="left" w:pos="284"/>
      </w:tabs>
      <w:autoSpaceDE/>
      <w:autoSpaceDN/>
      <w:adjustRightInd/>
      <w:ind w:left="397" w:hanging="397"/>
    </w:pPr>
    <w:rPr>
      <w:rFonts w:ascii="Times New Roman" w:eastAsia="Times New Roman" w:hAnsi="Times New Roman" w:cs="Times New Roman"/>
      <w:szCs w:val="20"/>
    </w:rPr>
  </w:style>
  <w:style w:type="character" w:styleId="Hyperlink">
    <w:name w:val="Hyperlink"/>
    <w:basedOn w:val="DefaultParagraphFont"/>
    <w:uiPriority w:val="99"/>
    <w:unhideWhenUsed/>
    <w:rsid w:val="005A2155"/>
    <w:rPr>
      <w:color w:val="0000FF" w:themeColor="hyperlink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81A38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81A38"/>
    <w:rPr>
      <w:rFonts w:ascii="Lucida Grande" w:hAnsi="Lucida Grande" w:cs="Lucida Grande"/>
      <w:sz w:val="24"/>
      <w:szCs w:val="24"/>
    </w:rPr>
  </w:style>
  <w:style w:type="paragraph" w:customStyle="1" w:styleId="NormalBoldCenter">
    <w:name w:val="Normal Bold Center"/>
    <w:basedOn w:val="Normal"/>
    <w:autoRedefine/>
    <w:rsid w:val="006442CC"/>
    <w:pPr>
      <w:tabs>
        <w:tab w:val="left" w:pos="2842"/>
      </w:tabs>
      <w:spacing w:before="120" w:after="120"/>
      <w:jc w:val="center"/>
    </w:pPr>
    <w:rPr>
      <w:rFonts w:ascii="Arial" w:hAnsi="Arial"/>
      <w:b/>
      <w:sz w:val="20"/>
      <w:lang w:val="en-CA"/>
    </w:rPr>
  </w:style>
  <w:style w:type="paragraph" w:customStyle="1" w:styleId="DiagramTitle">
    <w:name w:val="Diagram Title"/>
    <w:basedOn w:val="Normal"/>
    <w:rsid w:val="009F6068"/>
    <w:pPr>
      <w:tabs>
        <w:tab w:val="left" w:pos="2842"/>
      </w:tabs>
      <w:spacing w:before="120" w:after="120"/>
      <w:jc w:val="center"/>
    </w:pPr>
    <w:rPr>
      <w:rFonts w:ascii="Arial" w:hAnsi="Arial"/>
      <w:b/>
      <w:sz w:val="20"/>
      <w:lang w:val="en-CA"/>
    </w:rPr>
  </w:style>
  <w:style w:type="paragraph" w:styleId="NormalWeb">
    <w:name w:val="Normal (Web)"/>
    <w:basedOn w:val="Normal"/>
    <w:uiPriority w:val="99"/>
    <w:rsid w:val="00004887"/>
    <w:rPr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7C433A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D166F"/>
    <w:pPr>
      <w:ind w:left="720"/>
      <w:jc w:val="both"/>
    </w:pPr>
    <w:rPr>
      <w:rFonts w:ascii="Arial" w:hAnsi="Arial"/>
      <w:lang w:val="en-US"/>
    </w:rPr>
  </w:style>
  <w:style w:type="paragraph" w:styleId="TOCHeading">
    <w:name w:val="TOC Heading"/>
    <w:aliases w:val="Bulletted"/>
    <w:basedOn w:val="Text"/>
    <w:next w:val="Normal"/>
    <w:uiPriority w:val="39"/>
    <w:unhideWhenUsed/>
    <w:qFormat/>
    <w:rsid w:val="00B05F3E"/>
    <w:pPr>
      <w:numPr>
        <w:numId w:val="5"/>
      </w:numPr>
    </w:pPr>
  </w:style>
  <w:style w:type="paragraph" w:styleId="TOC1">
    <w:name w:val="toc 1"/>
    <w:basedOn w:val="Normal"/>
    <w:next w:val="Normal"/>
    <w:autoRedefine/>
    <w:uiPriority w:val="39"/>
    <w:unhideWhenUsed/>
    <w:rsid w:val="002B7519"/>
    <w:pPr>
      <w:tabs>
        <w:tab w:val="right" w:leader="dot" w:pos="9016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B7519"/>
    <w:pPr>
      <w:tabs>
        <w:tab w:val="right" w:leader="dot" w:pos="9016"/>
      </w:tabs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760908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760908"/>
    <w:pPr>
      <w:spacing w:after="100" w:line="259" w:lineRule="auto"/>
      <w:ind w:left="660"/>
    </w:pPr>
    <w:rPr>
      <w:rFonts w:eastAsiaTheme="minorEastAsia"/>
    </w:rPr>
  </w:style>
  <w:style w:type="paragraph" w:styleId="TOC5">
    <w:name w:val="toc 5"/>
    <w:basedOn w:val="Normal"/>
    <w:next w:val="Normal"/>
    <w:autoRedefine/>
    <w:uiPriority w:val="39"/>
    <w:unhideWhenUsed/>
    <w:rsid w:val="00760908"/>
    <w:pPr>
      <w:spacing w:after="100" w:line="259" w:lineRule="auto"/>
      <w:ind w:left="880"/>
    </w:pPr>
    <w:rPr>
      <w:rFonts w:eastAsiaTheme="minorEastAsia"/>
    </w:rPr>
  </w:style>
  <w:style w:type="paragraph" w:styleId="TOC6">
    <w:name w:val="toc 6"/>
    <w:basedOn w:val="Normal"/>
    <w:next w:val="Normal"/>
    <w:autoRedefine/>
    <w:uiPriority w:val="39"/>
    <w:unhideWhenUsed/>
    <w:rsid w:val="00BA2FD4"/>
    <w:pPr>
      <w:spacing w:after="100" w:line="259" w:lineRule="auto"/>
      <w:ind w:left="1100"/>
    </w:pPr>
    <w:rPr>
      <w:rFonts w:eastAsiaTheme="minorEastAsia"/>
    </w:rPr>
  </w:style>
  <w:style w:type="paragraph" w:styleId="TOC7">
    <w:name w:val="toc 7"/>
    <w:basedOn w:val="Normal"/>
    <w:next w:val="Normal"/>
    <w:autoRedefine/>
    <w:uiPriority w:val="39"/>
    <w:unhideWhenUsed/>
    <w:rsid w:val="00BA2FD4"/>
    <w:pPr>
      <w:spacing w:after="100" w:line="259" w:lineRule="auto"/>
      <w:ind w:left="1320"/>
    </w:pPr>
    <w:rPr>
      <w:rFonts w:eastAsiaTheme="minorEastAsia"/>
    </w:rPr>
  </w:style>
  <w:style w:type="paragraph" w:styleId="TOC8">
    <w:name w:val="toc 8"/>
    <w:basedOn w:val="Normal"/>
    <w:next w:val="Normal"/>
    <w:autoRedefine/>
    <w:uiPriority w:val="39"/>
    <w:unhideWhenUsed/>
    <w:rsid w:val="00BA2FD4"/>
    <w:pPr>
      <w:spacing w:after="100" w:line="259" w:lineRule="auto"/>
      <w:ind w:left="1540"/>
    </w:pPr>
    <w:rPr>
      <w:rFonts w:eastAsiaTheme="minorEastAsia"/>
    </w:rPr>
  </w:style>
  <w:style w:type="paragraph" w:styleId="TOC9">
    <w:name w:val="toc 9"/>
    <w:basedOn w:val="Normal"/>
    <w:next w:val="Normal"/>
    <w:autoRedefine/>
    <w:uiPriority w:val="39"/>
    <w:unhideWhenUsed/>
    <w:rsid w:val="00BA2FD4"/>
    <w:pPr>
      <w:spacing w:after="100" w:line="259" w:lineRule="auto"/>
      <w:ind w:left="1760"/>
    </w:pPr>
    <w:rPr>
      <w:rFonts w:eastAsiaTheme="minorEastAsia"/>
    </w:rPr>
  </w:style>
  <w:style w:type="paragraph" w:customStyle="1" w:styleId="Bullettedlist">
    <w:name w:val="Bulletted list"/>
    <w:basedOn w:val="Text"/>
    <w:rsid w:val="00CF419D"/>
    <w:pPr>
      <w:numPr>
        <w:numId w:val="1"/>
      </w:numPr>
    </w:pPr>
  </w:style>
  <w:style w:type="paragraph" w:customStyle="1" w:styleId="Quotation">
    <w:name w:val="Quotation"/>
    <w:basedOn w:val="Normal"/>
    <w:link w:val="QuotationChar"/>
    <w:qFormat/>
    <w:rsid w:val="009254C6"/>
    <w:pPr>
      <w:spacing w:before="200"/>
      <w:jc w:val="center"/>
    </w:pPr>
    <w:rPr>
      <w:i/>
      <w:iCs/>
      <w:color w:val="404040" w:themeColor="text1" w:themeTint="BF"/>
    </w:rPr>
  </w:style>
  <w:style w:type="character" w:customStyle="1" w:styleId="QuotationChar">
    <w:name w:val="Quotation Char"/>
    <w:basedOn w:val="DefaultParagraphFont"/>
    <w:link w:val="Quotation"/>
    <w:rsid w:val="009254C6"/>
    <w:rPr>
      <w:rFonts w:ascii="Times New Roman" w:hAnsi="Times New Roman" w:cs="Times New Roman"/>
      <w:i/>
      <w:iCs/>
      <w:color w:val="404040" w:themeColor="text1" w:themeTint="BF"/>
    </w:rPr>
  </w:style>
  <w:style w:type="character" w:customStyle="1" w:styleId="cit-pub-date">
    <w:name w:val="cit-pub-date"/>
    <w:basedOn w:val="DefaultParagraphFont"/>
    <w:rsid w:val="00F74B72"/>
  </w:style>
  <w:style w:type="character" w:customStyle="1" w:styleId="cit-vol">
    <w:name w:val="cit-vol"/>
    <w:basedOn w:val="DefaultParagraphFont"/>
    <w:rsid w:val="00F74B72"/>
  </w:style>
  <w:style w:type="character" w:customStyle="1" w:styleId="cit-fpage">
    <w:name w:val="cit-fpage"/>
    <w:basedOn w:val="DefaultParagraphFont"/>
    <w:rsid w:val="00F74B72"/>
  </w:style>
  <w:style w:type="character" w:customStyle="1" w:styleId="normaltextrun">
    <w:name w:val="normaltextrun"/>
    <w:basedOn w:val="DefaultParagraphFont"/>
    <w:rsid w:val="00596C4C"/>
  </w:style>
  <w:style w:type="paragraph" w:customStyle="1" w:styleId="Normal1">
    <w:name w:val="Normal1"/>
    <w:rsid w:val="00BF04A2"/>
    <w:pPr>
      <w:spacing w:after="0"/>
    </w:pPr>
    <w:rPr>
      <w:rFonts w:ascii="Arial" w:eastAsia="Arial" w:hAnsi="Arial" w:cs="Arial"/>
      <w:color w:val="000000"/>
      <w:szCs w:val="20"/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922A6E"/>
    <w:pPr>
      <w:keepNext/>
      <w:spacing w:before="240" w:after="120"/>
    </w:pPr>
    <w:rPr>
      <w:rFonts w:cs="AdvTT6c1def61.B"/>
      <w:caps/>
      <w:color w:val="62B547"/>
      <w:sz w:val="17"/>
      <w:szCs w:val="17"/>
    </w:rPr>
  </w:style>
  <w:style w:type="paragraph" w:styleId="TableofFigures">
    <w:name w:val="table of figures"/>
    <w:basedOn w:val="Normal"/>
    <w:next w:val="Normal"/>
    <w:uiPriority w:val="99"/>
    <w:unhideWhenUsed/>
    <w:rsid w:val="00005E79"/>
    <w:pPr>
      <w:ind w:left="480" w:hanging="480"/>
    </w:pPr>
    <w:rPr>
      <w:rFonts w:asciiTheme="minorHAnsi" w:hAnsiTheme="minorHAnsi" w:cstheme="minorHAnsi"/>
      <w:caps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47366"/>
    <w:pPr>
      <w:autoSpaceDE w:val="0"/>
      <w:autoSpaceDN w:val="0"/>
      <w:adjustRightInd w:val="0"/>
      <w:spacing w:after="120" w:line="360" w:lineRule="auto"/>
      <w:ind w:left="284" w:right="38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47366"/>
    <w:rPr>
      <w:rFonts w:ascii="Times New Roman" w:hAnsi="Times New Roman" w:cs="Times New Roman"/>
      <w:i/>
      <w:iCs/>
      <w:color w:val="000000" w:themeColor="text1"/>
      <w:sz w:val="24"/>
      <w:szCs w:val="24"/>
    </w:rPr>
  </w:style>
  <w:style w:type="character" w:styleId="HTMLCite">
    <w:name w:val="HTML Cite"/>
    <w:basedOn w:val="DefaultParagraphFont"/>
    <w:uiPriority w:val="99"/>
    <w:semiHidden/>
    <w:unhideWhenUsed/>
    <w:rsid w:val="00F70C7C"/>
    <w:rPr>
      <w:i/>
      <w:iCs/>
    </w:rPr>
  </w:style>
  <w:style w:type="paragraph" w:customStyle="1" w:styleId="Numberedlist">
    <w:name w:val="Numbered list"/>
    <w:basedOn w:val="Text"/>
    <w:rsid w:val="0027461D"/>
    <w:pPr>
      <w:numPr>
        <w:numId w:val="4"/>
      </w:numPr>
    </w:pPr>
  </w:style>
  <w:style w:type="paragraph" w:styleId="Revision">
    <w:name w:val="Revision"/>
    <w:hidden/>
    <w:uiPriority w:val="99"/>
    <w:semiHidden/>
    <w:rsid w:val="0069205D"/>
    <w:pPr>
      <w:spacing w:after="0" w:line="240" w:lineRule="auto"/>
    </w:pPr>
  </w:style>
  <w:style w:type="character" w:customStyle="1" w:styleId="ng-binding">
    <w:name w:val="ng-binding"/>
    <w:basedOn w:val="DefaultParagraphFont"/>
    <w:rsid w:val="00242E9E"/>
  </w:style>
  <w:style w:type="paragraph" w:customStyle="1" w:styleId="Default">
    <w:name w:val="Default"/>
    <w:basedOn w:val="Normal"/>
    <w:rsid w:val="00242E9E"/>
    <w:pPr>
      <w:autoSpaceDE w:val="0"/>
      <w:autoSpaceDN w:val="0"/>
    </w:pPr>
    <w:rPr>
      <w:rFonts w:ascii="Calibri" w:hAnsi="Calibri"/>
      <w:color w:val="000000"/>
    </w:rPr>
  </w:style>
  <w:style w:type="paragraph" w:customStyle="1" w:styleId="LRIGTABLEHEADER">
    <w:name w:val="LRIG TABLE HEADER"/>
    <w:basedOn w:val="Normal"/>
    <w:qFormat/>
    <w:rsid w:val="00242E9E"/>
    <w:pPr>
      <w:keepNext/>
      <w:spacing w:before="40" w:after="40" w:line="360" w:lineRule="auto"/>
      <w:jc w:val="both"/>
    </w:pPr>
    <w:rPr>
      <w:rFonts w:ascii="Arial" w:hAnsi="Arial" w:cs="Arial"/>
      <w:b/>
      <w:sz w:val="20"/>
      <w:szCs w:val="20"/>
    </w:rPr>
  </w:style>
  <w:style w:type="paragraph" w:customStyle="1" w:styleId="LRIGTABLENUMBERS">
    <w:name w:val="LRIG TABLE NUMBERS"/>
    <w:basedOn w:val="Normal"/>
    <w:qFormat/>
    <w:rsid w:val="00242E9E"/>
    <w:pPr>
      <w:keepNext/>
      <w:tabs>
        <w:tab w:val="right" w:pos="1432"/>
      </w:tabs>
      <w:spacing w:before="40" w:after="40"/>
      <w:jc w:val="right"/>
    </w:pPr>
    <w:rPr>
      <w:rFonts w:ascii="Arial" w:hAnsi="Arial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006D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desc">
    <w:name w:val="desc"/>
    <w:basedOn w:val="Normal"/>
    <w:rsid w:val="005C436F"/>
    <w:pPr>
      <w:spacing w:before="100" w:beforeAutospacing="1" w:after="100" w:afterAutospacing="1"/>
    </w:pPr>
  </w:style>
  <w:style w:type="paragraph" w:customStyle="1" w:styleId="details">
    <w:name w:val="details"/>
    <w:basedOn w:val="Normal"/>
    <w:rsid w:val="005C436F"/>
    <w:pPr>
      <w:spacing w:before="100" w:beforeAutospacing="1" w:after="100" w:afterAutospacing="1"/>
    </w:pPr>
  </w:style>
  <w:style w:type="character" w:customStyle="1" w:styleId="jrnl">
    <w:name w:val="jrnl"/>
    <w:basedOn w:val="DefaultParagraphFont"/>
    <w:rsid w:val="005C436F"/>
  </w:style>
  <w:style w:type="character" w:styleId="Emphasis">
    <w:name w:val="Emphasis"/>
    <w:basedOn w:val="DefaultParagraphFont"/>
    <w:uiPriority w:val="20"/>
    <w:qFormat/>
    <w:rsid w:val="00F60B88"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rsid w:val="002762E6"/>
  </w:style>
  <w:style w:type="character" w:styleId="UnresolvedMention">
    <w:name w:val="Unresolved Mention"/>
    <w:basedOn w:val="DefaultParagraphFont"/>
    <w:uiPriority w:val="99"/>
    <w:semiHidden/>
    <w:unhideWhenUsed/>
    <w:rsid w:val="001C62E6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243C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243C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8722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2308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426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47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13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44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659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830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96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58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50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419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46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0444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0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860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5449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115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671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0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4757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204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2773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583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873155">
          <w:marLeft w:val="907"/>
          <w:marRight w:val="0"/>
          <w:marTop w:val="0"/>
          <w:marBottom w:val="1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5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82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2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2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143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59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71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ilarva\Documents\Custom%20Office%20Templates\NIHR%20report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9E68D5-9EBC-D74B-869A-809A68FC7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C:\Users\pilarva\Documents\Custom Office Templates\NIHR report template.dotx</Template>
  <TotalTime>16</TotalTime>
  <Pages>4</Pages>
  <Words>1858</Words>
  <Characters>10610</Characters>
  <Application>Microsoft Office Word</Application>
  <DocSecurity>0</DocSecurity>
  <Lines>342</Lines>
  <Paragraphs>204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47</vt:i4>
      </vt:variant>
    </vt:vector>
  </HeadingPairs>
  <TitlesOfParts>
    <vt:vector size="48" baseType="lpstr">
      <vt:lpstr/>
      <vt:lpstr>Abstract</vt:lpstr>
      <vt:lpstr/>
      <vt:lpstr/>
      <vt:lpstr/>
      <vt:lpstr/>
      <vt:lpstr/>
      <vt:lpstr>List of abbreviations </vt:lpstr>
      <vt:lpstr>Plain English summary</vt:lpstr>
      <vt:lpstr>Scientific summary  </vt:lpstr>
      <vt:lpstr>    Background </vt:lpstr>
      <vt:lpstr>    Changes to the programme and their implications</vt:lpstr>
      <vt:lpstr>    Methods </vt:lpstr>
      <vt:lpstr>    Results </vt:lpstr>
      <vt:lpstr>    Conclusions </vt:lpstr>
      <vt:lpstr>    RCT registration</vt:lpstr>
      <vt:lpstr>SYNOPSIS</vt:lpstr>
      <vt:lpstr>1. Background</vt:lpstr>
      <vt:lpstr>2. Aims and objectives of the ISDR programme of applied research</vt:lpstr>
      <vt:lpstr>4. Patient and public involvement in the ISDR programme</vt:lpstr>
      <vt:lpstr>    4.1 Aims</vt:lpstr>
      <vt:lpstr>    4.2 Methods</vt:lpstr>
      <vt:lpstr>    4.3 Results - summary of PPI contribution to ISDR programme</vt:lpstr>
      <vt:lpstr>    4.4 Discussion - reflections/ critical perspective</vt:lpstr>
      <vt:lpstr>    4.5 Interrelation to other work packages and overall aims of the programme</vt:lpstr>
      <vt:lpstr>5. The ISDR study data warehouse</vt:lpstr>
      <vt:lpstr>    5.1 Research aims</vt:lpstr>
      <vt:lpstr>    5.2 Methods </vt:lpstr>
      <vt:lpstr>    5.3 Results </vt:lpstr>
      <vt:lpstr>    5.3 Discussion – challenges in the data warehouse</vt:lpstr>
      <vt:lpstr>    5.4 Interrelation to other work packages and overall aims of the programme</vt:lpstr>
      <vt:lpstr>6. The Liverpool Risk Calculation Engine </vt:lpstr>
      <vt:lpstr>    6.1 Research aims</vt:lpstr>
      <vt:lpstr>    6.2 Methods</vt:lpstr>
      <vt:lpstr>    6.3 Results</vt:lpstr>
      <vt:lpstr>    6.4 Discussion</vt:lpstr>
      <vt:lpstr>    6.5 Interrelation with other parts of the programme and overall aims of the prog</vt:lpstr>
      <vt:lpstr>7. Randomised controlled trial to evaluate the safety and cost effectiveness of </vt:lpstr>
      <vt:lpstr>    7.1 Research aims</vt:lpstr>
      <vt:lpstr>    7.2 Methods </vt:lpstr>
      <vt:lpstr>    7.3 Results</vt:lpstr>
      <vt:lpstr>    7.4 Discussion</vt:lpstr>
      <vt:lpstr>    7.5 Interrelation to other work packages and overall aims of the programme</vt:lpstr>
      <vt:lpstr>8. Cost effectiveness of individualised variable-interval risk-based screening f</vt:lpstr>
      <vt:lpstr>    8.1 Research aims</vt:lpstr>
      <vt:lpstr>    8.2 Methods</vt:lpstr>
      <vt:lpstr>    8.3 Results</vt:lpstr>
      <vt:lpstr>    8.4 Economic model</vt:lpstr>
    </vt:vector>
  </TitlesOfParts>
  <Company>The University of Liverpool</Company>
  <LinksUpToDate>false</LinksUpToDate>
  <CharactersWithSpaces>12264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Vazquez Arango, Maria Del Pilar</dc:creator>
  <cp:keywords/>
  <dc:description/>
  <cp:lastModifiedBy>Euan Notley</cp:lastModifiedBy>
  <cp:revision>6</cp:revision>
  <cp:lastPrinted>2021-01-24T13:13:00Z</cp:lastPrinted>
  <dcterms:created xsi:type="dcterms:W3CDTF">2022-06-21T10:17:00Z</dcterms:created>
  <dcterms:modified xsi:type="dcterms:W3CDTF">2022-06-21T10:40:00Z</dcterms:modified>
</cp:coreProperties>
</file>